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271BB81C28654F50B0FA8DB5311498E4"/>
        </w:placeholder>
      </w:sdtPr>
      <w:sdtEndPr/>
      <w:sdtContent>
        <w:p w14:paraId="5961F836" w14:textId="77777777" w:rsidR="007B7533" w:rsidRDefault="007B7533">
          <w:r w:rsidRPr="004516B8">
            <w:rPr>
              <w:noProof/>
            </w:rPr>
            <mc:AlternateContent>
              <mc:Choice Requires="wpg">
                <w:drawing>
                  <wp:anchor distT="0" distB="0" distL="114300" distR="114300" simplePos="0" relativeHeight="251657216" behindDoc="1" locked="1" layoutInCell="1" allowOverlap="1" wp14:anchorId="5D74AC2E" wp14:editId="5FFE523A">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8"/>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7B6E270" id="BackgroundGraphics" o:spid="_x0000_s1026" style="position:absolute;margin-left:0;margin-top:0;width:595.3pt;height:209.75pt;z-index:-251659264;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9"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1C15A18C" w14:textId="77777777" w:rsidTr="004151AD">
        <w:trPr>
          <w:cantSplit/>
          <w:trHeight w:val="23"/>
        </w:trPr>
        <w:tc>
          <w:tcPr>
            <w:tcW w:w="7087" w:type="dxa"/>
          </w:tcPr>
          <w:p w14:paraId="1E7C27F5" w14:textId="7BBC5E49" w:rsidR="002F4726" w:rsidRDefault="00607D40" w:rsidP="004151AD">
            <w:pPr>
              <w:pStyle w:val="CoverJobTitle"/>
            </w:pPr>
            <w:r>
              <w:t xml:space="preserve">Head of </w:t>
            </w:r>
            <w:r w:rsidR="007E6610">
              <w:t xml:space="preserve">Enterprise </w:t>
            </w:r>
            <w:r>
              <w:t>Change Management</w:t>
            </w:r>
          </w:p>
        </w:tc>
      </w:tr>
      <w:tr w:rsidR="00FA5B65" w14:paraId="1A3051D9" w14:textId="77777777" w:rsidTr="004151AD">
        <w:trPr>
          <w:cantSplit/>
          <w:trHeight w:val="20"/>
        </w:trPr>
        <w:tc>
          <w:tcPr>
            <w:tcW w:w="7087" w:type="dxa"/>
            <w:vAlign w:val="bottom"/>
          </w:tcPr>
          <w:p w14:paraId="04E32C8A" w14:textId="211A98BF" w:rsidR="00FA5B65" w:rsidRDefault="00D7501F" w:rsidP="004151AD">
            <w:pPr>
              <w:pStyle w:val="CoverDepartment"/>
            </w:pPr>
            <w:r>
              <w:t>Transformation</w:t>
            </w:r>
          </w:p>
        </w:tc>
      </w:tr>
      <w:tr w:rsidR="00FA5B65" w14:paraId="5D1F4786" w14:textId="77777777" w:rsidTr="004151AD">
        <w:trPr>
          <w:cantSplit/>
          <w:trHeight w:val="20"/>
        </w:trPr>
        <w:sdt>
          <w:sdtPr>
            <w:alias w:val="Select Directorate"/>
            <w:tag w:val="Select Directorate"/>
            <w:id w:val="1560278835"/>
            <w:placeholder>
              <w:docPart w:val="60B21812823C4A4FBAC9ABA5FAAB026F"/>
            </w:placeholder>
            <w:dropDownList>
              <w:listItem w:value="Choose an item."/>
              <w:listItem w:displayText="Central Support Services" w:value="Central Support Services"/>
              <w:listItem w:displayText="Change Programmes and Service Management" w:value="Change Programmes and Service Management"/>
              <w:listItem w:displayText="Consultants" w:value="Consultants"/>
              <w:listItem w:displayText="Darwin" w:value="Darwin"/>
              <w:listItem w:displayText="Data and Analytics" w:value="Data and Analytics"/>
              <w:listItem w:displayText="ExCo" w:value="ExCo"/>
              <w:listItem w:displayText="General Counsel" w:value="General Counsel"/>
              <w:listItem w:displayText="Investment" w:value="Investment"/>
              <w:listItem w:displayText="Nest Experience" w:value="Nest Experience"/>
              <w:listItem w:displayText="Nest Insight" w:value="Nest Insight"/>
              <w:listItem w:displayText="Panel Members" w:value="Panel Members"/>
              <w:listItem w:displayText="Risk and Compliance" w:value="Risk and Compliance"/>
              <w:listItem w:displayText="Strategy" w:value="Strategy"/>
              <w:listItem w:displayText="Trustees" w:value="Trustees"/>
            </w:dropDownList>
          </w:sdtPr>
          <w:sdtEndPr/>
          <w:sdtContent>
            <w:tc>
              <w:tcPr>
                <w:tcW w:w="7087" w:type="dxa"/>
              </w:tcPr>
              <w:p w14:paraId="4AC0AFA6" w14:textId="649C4164" w:rsidR="00FA5B65" w:rsidRDefault="009462D0" w:rsidP="004151AD">
                <w:pPr>
                  <w:pStyle w:val="CoverDirectorate"/>
                </w:pPr>
                <w:r>
                  <w:t>Strategy</w:t>
                </w:r>
              </w:p>
            </w:tc>
          </w:sdtContent>
        </w:sdt>
      </w:tr>
      <w:tr w:rsidR="004151AD" w14:paraId="08566A21" w14:textId="77777777" w:rsidTr="004151AD">
        <w:trPr>
          <w:cantSplit/>
          <w:trHeight w:val="20"/>
        </w:trPr>
        <w:tc>
          <w:tcPr>
            <w:tcW w:w="7087" w:type="dxa"/>
          </w:tcPr>
          <w:p w14:paraId="1407BFD1" w14:textId="71E6AC8C" w:rsidR="004151AD" w:rsidRPr="00352DC9" w:rsidRDefault="004151AD" w:rsidP="004151AD">
            <w:pPr>
              <w:pStyle w:val="CoverGrade"/>
            </w:pPr>
            <w:r w:rsidRPr="00176A70">
              <w:rPr>
                <w:b/>
                <w:bCs/>
              </w:rPr>
              <w:t>Grade:</w:t>
            </w:r>
            <w:r>
              <w:t xml:space="preserve"> </w:t>
            </w:r>
            <w:r w:rsidR="00D7501F">
              <w:t>1</w:t>
            </w:r>
          </w:p>
        </w:tc>
      </w:tr>
    </w:tbl>
    <w:p w14:paraId="7632261D" w14:textId="77777777" w:rsidR="000C6725" w:rsidRDefault="000C6725" w:rsidP="000C6725">
      <w:pPr>
        <w:pStyle w:val="Heading1"/>
        <w:numPr>
          <w:ilvl w:val="0"/>
          <w:numId w:val="0"/>
        </w:numPr>
      </w:pPr>
      <w:r>
        <w:t>Organisational overview</w:t>
      </w:r>
    </w:p>
    <w:p w14:paraId="7CED143A" w14:textId="77777777" w:rsidR="000C6725" w:rsidRDefault="000C6725" w:rsidP="000C6725">
      <w:r>
        <w:t xml:space="preserve">Nest is a great government delivery success story. Established in 2010, Nest has been a critical pillar of the government’s automatic enrolment pension programme, with a public service obligation to accept any employer wishing to use the scheme to discharge their automatic enrolment duties. </w:t>
      </w:r>
    </w:p>
    <w:p w14:paraId="2E2DF247" w14:textId="77777777" w:rsidR="000C6725" w:rsidRPr="006778EE" w:rsidRDefault="000C6725" w:rsidP="000C6725">
      <w:r>
        <w:t>Now with over 8 million members, our award-winning pension fund is tailored to members’ requirements by combining extensive research and an expert understanding of their needs. First-class investment practice and governance are the backbone of our organisation. We invest responsibly and sustainably and are always transparent about the choices we make.</w:t>
      </w:r>
      <w:r w:rsidRPr="00CB0278">
        <w:t xml:space="preserve"> </w:t>
      </w:r>
      <w:r>
        <w:t>It is</w:t>
      </w:r>
      <w:r w:rsidRPr="006778EE">
        <w:t xml:space="preserve"> both a privilege and a responsibility to </w:t>
      </w:r>
      <w:r>
        <w:t>help each of our members</w:t>
      </w:r>
      <w:r w:rsidRPr="006778EE">
        <w:t xml:space="preserve"> achieve the retirement they want. </w:t>
      </w:r>
    </w:p>
    <w:p w14:paraId="33B4555A" w14:textId="201FF300" w:rsidR="000C6725" w:rsidRDefault="000C6725" w:rsidP="000C6725">
      <w:r>
        <w:t>It’s important that Nest has an equally diverse workforce and promotes an inclusive culture. This is in line with the organisation’s values and ensures that Nest is a corporation fit for the future.</w:t>
      </w:r>
      <w:r w:rsidR="00CD20EA">
        <w:t xml:space="preserve"> </w:t>
      </w:r>
    </w:p>
    <w:p w14:paraId="283B2315"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C07A160" w14:textId="77777777" w:rsidTr="006A0609">
        <w:trPr>
          <w:trHeight w:hRule="exact" w:val="20"/>
        </w:trPr>
        <w:tc>
          <w:tcPr>
            <w:tcW w:w="10546" w:type="dxa"/>
            <w:tcBorders>
              <w:bottom w:val="single" w:sz="4" w:space="0" w:color="FF8200" w:themeColor="text2"/>
            </w:tcBorders>
          </w:tcPr>
          <w:p w14:paraId="481F18CF" w14:textId="77777777" w:rsidR="005522B4" w:rsidRDefault="005522B4" w:rsidP="006A0609">
            <w:pPr>
              <w:pStyle w:val="KeyMsgText"/>
              <w:keepNext/>
              <w:ind w:right="-249"/>
            </w:pPr>
          </w:p>
        </w:tc>
      </w:tr>
      <w:tr w:rsidR="005522B4" w14:paraId="16B79AA4"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C27D002" w14:textId="77777777" w:rsidR="00303ACE" w:rsidRDefault="00303ACE" w:rsidP="00303ACE">
            <w:r>
              <w:t>Nest has a bold new purpose and an ambitious corporate strategy. Delivering against this strategy will require transformational thinking and action right across the organisation. The newly formed transformation team, as part of the Strategy and Transformation Directorate, will build an enterprise capability which partners with delivery teams across Nest, makes sure we are bringing our strategy – and future strategies – to life.</w:t>
            </w:r>
          </w:p>
          <w:p w14:paraId="7E63D0F0" w14:textId="77777777" w:rsidR="00303ACE" w:rsidRPr="00127D61" w:rsidRDefault="00303ACE" w:rsidP="00303ACE">
            <w:r>
              <w:t>The Strategy and Transformation Directorate</w:t>
            </w:r>
            <w:r w:rsidRPr="00127D61">
              <w:t xml:space="preserve"> is a globally-aware, forward-looking team of professionals</w:t>
            </w:r>
            <w:r>
              <w:t xml:space="preserve"> who </w:t>
            </w:r>
            <w:r w:rsidRPr="00127D61">
              <w:t xml:space="preserve">push ahead, define and embed Nest’s strategy and its transformational agenda. We are multi-disciplinary. We identify and resolve strategic questions which will shape the future of Nest in fundamental ways, including questions about Nest’s operating model, our relationship with Government, and our role in the UK pension market. </w:t>
            </w:r>
          </w:p>
          <w:p w14:paraId="56537CD3" w14:textId="77777777" w:rsidR="00303ACE" w:rsidRPr="00127D61" w:rsidRDefault="00303ACE" w:rsidP="00303ACE">
            <w:r w:rsidRPr="00127D61">
              <w:t xml:space="preserve">We also own, maintain and embed a compelling, commercially successful strategy for Nest and ensure that the organisation is aligned with its goals both in terms of intent and – crucially – delivery. </w:t>
            </w:r>
          </w:p>
          <w:p w14:paraId="5BE88B62" w14:textId="77777777" w:rsidR="00303ACE" w:rsidRDefault="00303ACE" w:rsidP="00303ACE">
            <w:r w:rsidRPr="00127D61">
              <w:t>We are a team which sees the big picture, asks stretching questions, challenges and collaborates, and demonstrates the confidence, curiosity and leadership to ensure Nest’s purpose, vision and direction are traced into all aspects of delivery at all levels.</w:t>
            </w:r>
            <w:r>
              <w:t xml:space="preserve"> </w:t>
            </w:r>
          </w:p>
          <w:p w14:paraId="03381B8D" w14:textId="77777777" w:rsidR="00303ACE" w:rsidRDefault="00303ACE" w:rsidP="00303ACE">
            <w:r>
              <w:t xml:space="preserve">We also recognise that strategy isn’t formulated and delivered in a vacuum. We understand and shape our external environment and bring this insight to bear on future strategy development. </w:t>
            </w:r>
          </w:p>
          <w:p w14:paraId="7BC6DA74" w14:textId="34A29480" w:rsidR="00E21352" w:rsidRPr="000C6725" w:rsidRDefault="00E21352" w:rsidP="006A0609"/>
        </w:tc>
      </w:tr>
    </w:tbl>
    <w:p w14:paraId="1CB43ADB" w14:textId="77777777" w:rsidR="004151AD" w:rsidRDefault="004151AD" w:rsidP="004151AD">
      <w:pPr>
        <w:pStyle w:val="Heading1"/>
        <w:numPr>
          <w:ilvl w:val="0"/>
          <w:numId w:val="0"/>
        </w:numPr>
      </w:pPr>
      <w:r>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2A3FB5FC" w14:textId="77777777" w:rsidTr="009D0B61">
        <w:trPr>
          <w:trHeight w:hRule="exact" w:val="20"/>
        </w:trPr>
        <w:tc>
          <w:tcPr>
            <w:tcW w:w="10546" w:type="dxa"/>
            <w:tcBorders>
              <w:bottom w:val="single" w:sz="4" w:space="0" w:color="FF8200" w:themeColor="text2"/>
            </w:tcBorders>
          </w:tcPr>
          <w:p w14:paraId="2FF6CDBE" w14:textId="77777777" w:rsidR="004151AD" w:rsidRDefault="004151AD" w:rsidP="009D0B61">
            <w:pPr>
              <w:pStyle w:val="KeyMsgText"/>
              <w:keepNext/>
              <w:ind w:right="-249"/>
            </w:pPr>
          </w:p>
        </w:tc>
      </w:tr>
      <w:tr w:rsidR="004151AD" w14:paraId="3DFFFE52" w14:textId="77777777" w:rsidTr="009D0B61">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1ECD2C6" w14:textId="77777777" w:rsidR="00824561" w:rsidRDefault="00824561" w:rsidP="00824561">
            <w:r w:rsidRPr="00824561">
              <w:t>This senior role ensures Nest’s transformation is understood, coordinated, and successfully adopted across the organisation and by external stakeholders.</w:t>
            </w:r>
          </w:p>
          <w:p w14:paraId="78E95512" w14:textId="77777777" w:rsidR="00824561" w:rsidRDefault="00824561" w:rsidP="00824561">
            <w:r w:rsidRPr="00824561">
              <w:br/>
              <w:t>The Head of Enterprise Change Management shapes the enterprise</w:t>
            </w:r>
            <w:r w:rsidRPr="00824561">
              <w:noBreakHyphen/>
              <w:t>wide transformation narrative, embeds consistent change</w:t>
            </w:r>
            <w:r w:rsidRPr="00824561">
              <w:noBreakHyphen/>
              <w:t>management standards across the portfolio, and ensures strong readiness, engagement, training, and behaviour change.</w:t>
            </w:r>
          </w:p>
          <w:p w14:paraId="27496645" w14:textId="77777777" w:rsidR="004151AD" w:rsidRDefault="00824561" w:rsidP="009D0B61">
            <w:r w:rsidRPr="00824561">
              <w:br/>
              <w:t>The role works directly with ExCo, Directors and Heads, providing strategic insight, challenge, and leadership around change impacts, organisational capacity, and stakeholder engagement.</w:t>
            </w:r>
          </w:p>
          <w:p w14:paraId="693554B8" w14:textId="2EF08462" w:rsidR="00824561" w:rsidRPr="000C6725" w:rsidRDefault="00824561" w:rsidP="009D0B61"/>
        </w:tc>
      </w:tr>
    </w:tbl>
    <w:p w14:paraId="20CC63B6" w14:textId="77777777" w:rsidR="000C6725" w:rsidRDefault="000C6725" w:rsidP="000C6725">
      <w:pPr>
        <w:pStyle w:val="Heading1"/>
        <w:numPr>
          <w:ilvl w:val="0"/>
          <w:numId w:val="0"/>
        </w:numPr>
      </w:pPr>
      <w:r>
        <w:t>Scope and deliverables</w:t>
      </w:r>
      <w:r w:rsidRPr="005412BB">
        <w:t xml:space="preserve"> </w:t>
      </w:r>
    </w:p>
    <w:p w14:paraId="5C1A0160"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50F86E2F" w14:textId="77777777" w:rsidTr="006A0609">
        <w:trPr>
          <w:cantSplit/>
          <w:trHeight w:hRule="exact" w:val="20"/>
        </w:trPr>
        <w:tc>
          <w:tcPr>
            <w:tcW w:w="10546" w:type="dxa"/>
            <w:tcBorders>
              <w:bottom w:val="single" w:sz="4" w:space="0" w:color="FF8200" w:themeColor="text2"/>
            </w:tcBorders>
          </w:tcPr>
          <w:p w14:paraId="5CE4CF7A" w14:textId="77777777" w:rsidR="005522B4" w:rsidRDefault="005522B4" w:rsidP="006A0609">
            <w:pPr>
              <w:pStyle w:val="KeyMsgText"/>
              <w:keepNext/>
              <w:ind w:right="-249"/>
            </w:pPr>
          </w:p>
        </w:tc>
      </w:tr>
      <w:tr w:rsidR="005522B4" w14:paraId="7623D68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73694EE" w14:textId="77777777" w:rsidR="00B82E49" w:rsidRDefault="00B82E49" w:rsidP="00B82E49">
            <w:pPr>
              <w:numPr>
                <w:ilvl w:val="0"/>
                <w:numId w:val="26"/>
              </w:numPr>
              <w:spacing w:before="0" w:after="120"/>
              <w:ind w:left="714" w:hanging="357"/>
              <w:rPr>
                <w:rFonts w:eastAsia="Times New Roman"/>
              </w:rPr>
            </w:pPr>
            <w:r>
              <w:rPr>
                <w:rFonts w:eastAsia="Times New Roman"/>
              </w:rPr>
              <w:t>Own the enterprise change narrative, portfolio</w:t>
            </w:r>
            <w:r>
              <w:rPr>
                <w:rFonts w:eastAsia="Times New Roman"/>
              </w:rPr>
              <w:noBreakHyphen/>
              <w:t>level change standards, and change calendar.</w:t>
            </w:r>
          </w:p>
          <w:p w14:paraId="63FC5CE7" w14:textId="77777777" w:rsidR="00B82E49" w:rsidRDefault="00B82E49" w:rsidP="00B82E49">
            <w:pPr>
              <w:numPr>
                <w:ilvl w:val="0"/>
                <w:numId w:val="26"/>
              </w:numPr>
              <w:spacing w:before="0" w:after="120"/>
              <w:ind w:left="714" w:hanging="357"/>
              <w:rPr>
                <w:rFonts w:eastAsia="Times New Roman"/>
              </w:rPr>
            </w:pPr>
            <w:r>
              <w:rPr>
                <w:rFonts w:eastAsia="Times New Roman"/>
              </w:rPr>
              <w:t>Lead organisational readiness, change</w:t>
            </w:r>
            <w:r>
              <w:rPr>
                <w:rFonts w:eastAsia="Times New Roman"/>
              </w:rPr>
              <w:noBreakHyphen/>
              <w:t>impact assessment, and change congestion analysis.</w:t>
            </w:r>
          </w:p>
          <w:p w14:paraId="63850014" w14:textId="77777777" w:rsidR="00B82E49" w:rsidRDefault="00B82E49" w:rsidP="00B82E49">
            <w:pPr>
              <w:numPr>
                <w:ilvl w:val="0"/>
                <w:numId w:val="26"/>
              </w:numPr>
              <w:spacing w:before="0" w:after="120"/>
              <w:ind w:left="714" w:hanging="357"/>
              <w:rPr>
                <w:rFonts w:eastAsia="Times New Roman"/>
              </w:rPr>
            </w:pPr>
            <w:r>
              <w:rPr>
                <w:rFonts w:eastAsia="Times New Roman"/>
              </w:rPr>
              <w:t>Ensure consistently high</w:t>
            </w:r>
            <w:r>
              <w:rPr>
                <w:rFonts w:eastAsia="Times New Roman"/>
              </w:rPr>
              <w:noBreakHyphen/>
              <w:t>quality change communications, training, and adoption planning across initiatives.</w:t>
            </w:r>
          </w:p>
          <w:p w14:paraId="0060EA44" w14:textId="77777777" w:rsidR="00B82E49" w:rsidRDefault="00B82E49" w:rsidP="00B82E49">
            <w:pPr>
              <w:numPr>
                <w:ilvl w:val="0"/>
                <w:numId w:val="26"/>
              </w:numPr>
              <w:spacing w:before="0" w:after="120"/>
              <w:ind w:left="714" w:hanging="357"/>
              <w:rPr>
                <w:rFonts w:eastAsia="Times New Roman"/>
              </w:rPr>
            </w:pPr>
            <w:r>
              <w:rPr>
                <w:rFonts w:eastAsia="Times New Roman"/>
              </w:rPr>
              <w:t>Govern adoption quality, external</w:t>
            </w:r>
            <w:r>
              <w:rPr>
                <w:rFonts w:eastAsia="Times New Roman"/>
              </w:rPr>
              <w:noBreakHyphen/>
              <w:t>stakeholder readiness (employers, members, partners), and cross</w:t>
            </w:r>
            <w:r>
              <w:rPr>
                <w:rFonts w:eastAsia="Times New Roman"/>
              </w:rPr>
              <w:noBreakHyphen/>
              <w:t>portfolio change risks.</w:t>
            </w:r>
          </w:p>
          <w:p w14:paraId="65A7EC5F" w14:textId="6E090E45" w:rsidR="005522B4" w:rsidRPr="00B82E49" w:rsidRDefault="00B82E49" w:rsidP="00B82E49">
            <w:pPr>
              <w:numPr>
                <w:ilvl w:val="0"/>
                <w:numId w:val="26"/>
              </w:numPr>
              <w:spacing w:before="0" w:after="120"/>
              <w:ind w:left="714" w:hanging="357"/>
              <w:rPr>
                <w:rFonts w:eastAsia="Times New Roman"/>
              </w:rPr>
            </w:pPr>
            <w:r>
              <w:rPr>
                <w:rFonts w:eastAsia="Times New Roman"/>
              </w:rPr>
              <w:t>Provide senior challenge and coaching to programme and product teams.</w:t>
            </w:r>
          </w:p>
        </w:tc>
      </w:tr>
    </w:tbl>
    <w:p w14:paraId="57EA9120" w14:textId="77777777" w:rsidR="000C6725" w:rsidRDefault="000C6725" w:rsidP="00303A10">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EB46675" w14:textId="77777777" w:rsidTr="006A0609">
        <w:trPr>
          <w:cantSplit/>
          <w:trHeight w:hRule="exact" w:val="20"/>
        </w:trPr>
        <w:tc>
          <w:tcPr>
            <w:tcW w:w="10546" w:type="dxa"/>
            <w:tcBorders>
              <w:bottom w:val="single" w:sz="4" w:space="0" w:color="FF8200" w:themeColor="text2"/>
            </w:tcBorders>
          </w:tcPr>
          <w:p w14:paraId="49201437" w14:textId="77777777" w:rsidR="005522B4" w:rsidRDefault="005522B4" w:rsidP="006A0609">
            <w:pPr>
              <w:pStyle w:val="KeyMsgText"/>
              <w:keepNext/>
              <w:ind w:right="-249"/>
            </w:pPr>
          </w:p>
        </w:tc>
      </w:tr>
      <w:tr w:rsidR="005522B4" w14:paraId="2FF76B3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83EB1B9" w14:textId="77777777" w:rsidR="00B82E49" w:rsidRDefault="00B82E49" w:rsidP="00B82E49">
            <w:pPr>
              <w:numPr>
                <w:ilvl w:val="0"/>
                <w:numId w:val="27"/>
              </w:numPr>
              <w:spacing w:before="0" w:after="120"/>
              <w:ind w:left="714" w:hanging="357"/>
              <w:rPr>
                <w:rFonts w:eastAsia="Times New Roman"/>
              </w:rPr>
            </w:pPr>
            <w:r>
              <w:rPr>
                <w:rFonts w:eastAsia="Times New Roman"/>
              </w:rPr>
              <w:t>Enterprise transformation narrative and leadership messaging.</w:t>
            </w:r>
          </w:p>
          <w:p w14:paraId="4835025D" w14:textId="77777777" w:rsidR="00B82E49" w:rsidRDefault="00B82E49" w:rsidP="00B82E49">
            <w:pPr>
              <w:numPr>
                <w:ilvl w:val="0"/>
                <w:numId w:val="27"/>
              </w:numPr>
              <w:spacing w:before="0" w:after="120"/>
              <w:ind w:left="714" w:hanging="357"/>
              <w:rPr>
                <w:rFonts w:eastAsia="Times New Roman"/>
              </w:rPr>
            </w:pPr>
            <w:r>
              <w:rPr>
                <w:rFonts w:eastAsia="Times New Roman"/>
              </w:rPr>
              <w:t>Change Impact Assessment (CIA) standard, engagement plans, training and readiness frameworks.</w:t>
            </w:r>
          </w:p>
          <w:p w14:paraId="34A882CD" w14:textId="77777777" w:rsidR="00B82E49" w:rsidRDefault="00B82E49" w:rsidP="00B82E49">
            <w:pPr>
              <w:numPr>
                <w:ilvl w:val="0"/>
                <w:numId w:val="27"/>
              </w:numPr>
              <w:spacing w:before="0" w:after="120"/>
              <w:ind w:left="714" w:hanging="357"/>
              <w:rPr>
                <w:rFonts w:eastAsia="Times New Roman"/>
              </w:rPr>
            </w:pPr>
            <w:r>
              <w:rPr>
                <w:rFonts w:eastAsia="Times New Roman"/>
              </w:rPr>
              <w:t>Portfolio</w:t>
            </w:r>
            <w:r>
              <w:rPr>
                <w:rFonts w:eastAsia="Times New Roman"/>
              </w:rPr>
              <w:noBreakHyphen/>
              <w:t>level change calendar, congestion/heatmap analysis, and readiness insights.</w:t>
            </w:r>
          </w:p>
          <w:p w14:paraId="3FAEC438" w14:textId="77777777" w:rsidR="00B82E49" w:rsidRDefault="00B82E49" w:rsidP="00B82E49">
            <w:pPr>
              <w:numPr>
                <w:ilvl w:val="0"/>
                <w:numId w:val="27"/>
              </w:numPr>
              <w:spacing w:before="0" w:after="120"/>
              <w:ind w:left="714" w:hanging="357"/>
              <w:rPr>
                <w:rFonts w:eastAsia="Times New Roman"/>
              </w:rPr>
            </w:pPr>
            <w:r>
              <w:rPr>
                <w:rFonts w:eastAsia="Times New Roman"/>
              </w:rPr>
              <w:t>Adoption KPIs, sentiment insights, and transition planning.</w:t>
            </w:r>
          </w:p>
          <w:p w14:paraId="19CB8699" w14:textId="5FB0596B" w:rsidR="005522B4" w:rsidRPr="00B82E49" w:rsidRDefault="00B82E49" w:rsidP="00B82E49">
            <w:pPr>
              <w:numPr>
                <w:ilvl w:val="0"/>
                <w:numId w:val="27"/>
              </w:numPr>
              <w:spacing w:before="0" w:after="120"/>
              <w:ind w:left="714" w:hanging="357"/>
              <w:rPr>
                <w:rFonts w:eastAsia="Times New Roman"/>
              </w:rPr>
            </w:pPr>
            <w:r>
              <w:rPr>
                <w:rFonts w:eastAsia="Times New Roman"/>
              </w:rPr>
              <w:t>Coaching and support for key programmes; uplift in organisational change capability.</w:t>
            </w:r>
          </w:p>
        </w:tc>
      </w:tr>
    </w:tbl>
    <w:p w14:paraId="41D9937F" w14:textId="77777777" w:rsidR="000C6725" w:rsidRDefault="000C6725" w:rsidP="00303A10">
      <w:pPr>
        <w:pStyle w:val="Heading2"/>
        <w:numPr>
          <w:ilvl w:val="0"/>
          <w:numId w:val="0"/>
        </w:numPr>
      </w:pPr>
      <w:r>
        <w:lastRenderedPageBreak/>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82545B9" w14:textId="77777777" w:rsidTr="006A0609">
        <w:trPr>
          <w:cantSplit/>
          <w:trHeight w:hRule="exact" w:val="20"/>
        </w:trPr>
        <w:tc>
          <w:tcPr>
            <w:tcW w:w="10546" w:type="dxa"/>
            <w:tcBorders>
              <w:bottom w:val="single" w:sz="4" w:space="0" w:color="FF8200" w:themeColor="text2"/>
            </w:tcBorders>
          </w:tcPr>
          <w:p w14:paraId="187B2ACA" w14:textId="77777777" w:rsidR="005522B4" w:rsidRDefault="005522B4" w:rsidP="006A0609">
            <w:pPr>
              <w:pStyle w:val="KeyMsgText"/>
              <w:keepNext/>
              <w:ind w:right="-249"/>
            </w:pPr>
          </w:p>
        </w:tc>
      </w:tr>
      <w:tr w:rsidR="005522B4" w14:paraId="238A29C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76F6184" w14:textId="77777777" w:rsidR="00E6057E" w:rsidRDefault="00E6057E" w:rsidP="00E6057E">
            <w:pPr>
              <w:numPr>
                <w:ilvl w:val="0"/>
                <w:numId w:val="28"/>
              </w:numPr>
              <w:spacing w:before="0" w:after="120"/>
              <w:ind w:left="714" w:hanging="357"/>
              <w:rPr>
                <w:rFonts w:eastAsia="Times New Roman"/>
              </w:rPr>
            </w:pPr>
            <w:r>
              <w:rPr>
                <w:rFonts w:eastAsia="Times New Roman"/>
              </w:rPr>
              <w:t>Influences PMO, Communications, HR/L&amp;D, Operations, Technology, Data and external partners.</w:t>
            </w:r>
          </w:p>
          <w:p w14:paraId="26FCD487" w14:textId="77777777" w:rsidR="00E6057E" w:rsidRDefault="00E6057E" w:rsidP="00E6057E">
            <w:pPr>
              <w:numPr>
                <w:ilvl w:val="0"/>
                <w:numId w:val="28"/>
              </w:numPr>
              <w:spacing w:before="0" w:after="120"/>
              <w:ind w:left="714" w:hanging="357"/>
              <w:rPr>
                <w:rFonts w:eastAsia="Times New Roman"/>
              </w:rPr>
            </w:pPr>
            <w:r>
              <w:rPr>
                <w:rFonts w:eastAsia="Times New Roman"/>
              </w:rPr>
              <w:t>No direct reports; leads via governance, standards, influence and a virtual change network.</w:t>
            </w:r>
          </w:p>
          <w:p w14:paraId="4C721523" w14:textId="77777777" w:rsidR="00E6057E" w:rsidRDefault="00E6057E" w:rsidP="00E6057E">
            <w:pPr>
              <w:numPr>
                <w:ilvl w:val="0"/>
                <w:numId w:val="28"/>
              </w:numPr>
              <w:spacing w:before="0" w:after="120"/>
              <w:ind w:left="714" w:hanging="357"/>
              <w:rPr>
                <w:rFonts w:eastAsia="Times New Roman"/>
              </w:rPr>
            </w:pPr>
            <w:r>
              <w:rPr>
                <w:rFonts w:eastAsia="Times New Roman"/>
              </w:rPr>
              <w:t>Works alongside the Business Architect to ensure design choices align with change capacity and adoption capability.</w:t>
            </w:r>
          </w:p>
          <w:p w14:paraId="58F0A8D7" w14:textId="4FA1AE3D" w:rsidR="005522B4" w:rsidRPr="000C6725" w:rsidRDefault="00E6057E" w:rsidP="00E6057E">
            <w:pPr>
              <w:numPr>
                <w:ilvl w:val="0"/>
                <w:numId w:val="28"/>
              </w:numPr>
              <w:spacing w:after="120"/>
              <w:ind w:left="714" w:hanging="357"/>
            </w:pPr>
            <w:r>
              <w:rPr>
                <w:rFonts w:eastAsia="Times New Roman"/>
              </w:rPr>
              <w:t>High autonomy; expected to shape practices, challenge decisions, and drive clarity.</w:t>
            </w:r>
          </w:p>
        </w:tc>
      </w:tr>
    </w:tbl>
    <w:p w14:paraId="0670AF4D" w14:textId="77777777" w:rsidR="000C6725" w:rsidRPr="005412BB" w:rsidRDefault="000C6725" w:rsidP="000C6725">
      <w:pPr>
        <w:pStyle w:val="Heading1"/>
        <w:numPr>
          <w:ilvl w:val="0"/>
          <w:numId w:val="0"/>
        </w:numPr>
      </w:pPr>
      <w:r w:rsidRPr="005412BB">
        <w:t>Role requirements</w:t>
      </w:r>
    </w:p>
    <w:p w14:paraId="2C01DCD0"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B318307" w14:textId="77777777" w:rsidTr="006A0609">
        <w:trPr>
          <w:cantSplit/>
          <w:trHeight w:hRule="exact" w:val="20"/>
        </w:trPr>
        <w:tc>
          <w:tcPr>
            <w:tcW w:w="10546" w:type="dxa"/>
            <w:tcBorders>
              <w:bottom w:val="single" w:sz="4" w:space="0" w:color="FF8200" w:themeColor="text2"/>
            </w:tcBorders>
          </w:tcPr>
          <w:p w14:paraId="1E389179" w14:textId="77777777" w:rsidR="001C1280" w:rsidRDefault="001C1280" w:rsidP="006A0609">
            <w:pPr>
              <w:pStyle w:val="KeyMsgText"/>
              <w:keepNext/>
              <w:ind w:right="-249"/>
            </w:pPr>
          </w:p>
        </w:tc>
      </w:tr>
      <w:tr w:rsidR="001C1280" w14:paraId="0B04384E"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412B4B8" w14:textId="77777777" w:rsidR="00E6057E" w:rsidRPr="00E6057E" w:rsidRDefault="00E6057E" w:rsidP="00E6057E">
            <w:pPr>
              <w:numPr>
                <w:ilvl w:val="0"/>
                <w:numId w:val="29"/>
              </w:numPr>
              <w:spacing w:before="0" w:after="120"/>
              <w:ind w:left="714" w:hanging="357"/>
              <w:rPr>
                <w:rFonts w:eastAsia="Times New Roman"/>
              </w:rPr>
            </w:pPr>
            <w:r w:rsidRPr="00E6057E">
              <w:rPr>
                <w:rFonts w:eastAsia="Times New Roman"/>
              </w:rPr>
              <w:t>Demonstrable expertise in change management methodologies, including ADKAR/Prosci, Kotter, Double Diamond / design</w:t>
            </w:r>
            <w:r w:rsidRPr="00E6057E">
              <w:rPr>
                <w:rFonts w:eastAsia="Times New Roman"/>
              </w:rPr>
              <w:noBreakHyphen/>
              <w:t>thinking approaches, and behavioural</w:t>
            </w:r>
            <w:r w:rsidRPr="00E6057E">
              <w:rPr>
                <w:rFonts w:eastAsia="Times New Roman"/>
              </w:rPr>
              <w:noBreakHyphen/>
              <w:t>change models.</w:t>
            </w:r>
          </w:p>
          <w:p w14:paraId="2CABB257" w14:textId="77777777" w:rsidR="00E6057E" w:rsidRPr="00E6057E" w:rsidRDefault="00E6057E" w:rsidP="00E6057E">
            <w:pPr>
              <w:numPr>
                <w:ilvl w:val="0"/>
                <w:numId w:val="29"/>
              </w:numPr>
              <w:spacing w:before="0" w:after="120"/>
              <w:ind w:left="714" w:hanging="357"/>
              <w:rPr>
                <w:rFonts w:eastAsia="Times New Roman"/>
              </w:rPr>
            </w:pPr>
            <w:r w:rsidRPr="00E6057E">
              <w:rPr>
                <w:rFonts w:eastAsia="Times New Roman"/>
              </w:rPr>
              <w:t>Strong experience in change communications, narrative shaping, leadership messaging and multi</w:t>
            </w:r>
            <w:r w:rsidRPr="00E6057E">
              <w:rPr>
                <w:rFonts w:eastAsia="Times New Roman"/>
              </w:rPr>
              <w:noBreakHyphen/>
              <w:t>audience engagement.</w:t>
            </w:r>
          </w:p>
          <w:p w14:paraId="51E56F9F" w14:textId="77777777" w:rsidR="00E6057E" w:rsidRPr="00E6057E" w:rsidRDefault="00E6057E" w:rsidP="00E6057E">
            <w:pPr>
              <w:numPr>
                <w:ilvl w:val="0"/>
                <w:numId w:val="29"/>
              </w:numPr>
              <w:spacing w:before="0" w:after="120"/>
              <w:ind w:left="714" w:hanging="357"/>
              <w:rPr>
                <w:rFonts w:eastAsia="Times New Roman"/>
              </w:rPr>
            </w:pPr>
            <w:r w:rsidRPr="00E6057E">
              <w:rPr>
                <w:rFonts w:eastAsia="Times New Roman"/>
              </w:rPr>
              <w:t>Experience designing and governing training, role</w:t>
            </w:r>
            <w:r w:rsidRPr="00E6057E">
              <w:rPr>
                <w:rFonts w:eastAsia="Times New Roman"/>
              </w:rPr>
              <w:noBreakHyphen/>
              <w:t>based learning, readiness planning, and adoption measurement.</w:t>
            </w:r>
          </w:p>
          <w:p w14:paraId="69F8138E" w14:textId="77777777" w:rsidR="00E6057E" w:rsidRPr="00E6057E" w:rsidRDefault="00E6057E" w:rsidP="00E6057E">
            <w:pPr>
              <w:numPr>
                <w:ilvl w:val="0"/>
                <w:numId w:val="29"/>
              </w:numPr>
              <w:spacing w:before="0" w:after="120"/>
              <w:ind w:left="714" w:hanging="357"/>
              <w:rPr>
                <w:rFonts w:eastAsia="Times New Roman"/>
              </w:rPr>
            </w:pPr>
            <w:r w:rsidRPr="00E6057E">
              <w:rPr>
                <w:rFonts w:eastAsia="Times New Roman"/>
              </w:rPr>
              <w:t>Proven ability to influence ExCo/Directors and shape strategic conversations.</w:t>
            </w:r>
          </w:p>
          <w:p w14:paraId="6D1324E5" w14:textId="77777777" w:rsidR="00E6057E" w:rsidRPr="00E6057E" w:rsidRDefault="00E6057E" w:rsidP="00E6057E">
            <w:pPr>
              <w:numPr>
                <w:ilvl w:val="0"/>
                <w:numId w:val="29"/>
              </w:numPr>
              <w:spacing w:before="0" w:after="120"/>
              <w:ind w:left="714" w:hanging="357"/>
              <w:rPr>
                <w:rFonts w:eastAsia="Times New Roman"/>
              </w:rPr>
            </w:pPr>
            <w:r w:rsidRPr="00E6057E">
              <w:rPr>
                <w:rFonts w:eastAsia="Times New Roman"/>
              </w:rPr>
              <w:t>Experience in portfolio</w:t>
            </w:r>
            <w:r w:rsidRPr="00E6057E">
              <w:rPr>
                <w:rFonts w:eastAsia="Times New Roman"/>
              </w:rPr>
              <w:noBreakHyphen/>
              <w:t>level change management, including congestion, sequencing and risk management.</w:t>
            </w:r>
          </w:p>
          <w:p w14:paraId="357CACF6" w14:textId="46695937" w:rsidR="001C1280" w:rsidRPr="00E6057E" w:rsidRDefault="00E6057E" w:rsidP="00E6057E">
            <w:pPr>
              <w:numPr>
                <w:ilvl w:val="0"/>
                <w:numId w:val="29"/>
              </w:numPr>
              <w:spacing w:before="0" w:after="120"/>
              <w:ind w:left="714" w:hanging="357"/>
              <w:rPr>
                <w:rFonts w:eastAsia="Times New Roman"/>
              </w:rPr>
            </w:pPr>
            <w:r w:rsidRPr="00E6057E">
              <w:rPr>
                <w:rFonts w:eastAsia="Times New Roman"/>
              </w:rPr>
              <w:t>Skilled in stakeholder mapping across complex internal and external environments.</w:t>
            </w:r>
          </w:p>
        </w:tc>
      </w:tr>
    </w:tbl>
    <w:p w14:paraId="3BF0C122"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2133EFF" w14:textId="77777777" w:rsidTr="006A0609">
        <w:trPr>
          <w:cantSplit/>
          <w:trHeight w:hRule="exact" w:val="20"/>
        </w:trPr>
        <w:tc>
          <w:tcPr>
            <w:tcW w:w="10546" w:type="dxa"/>
            <w:tcBorders>
              <w:bottom w:val="single" w:sz="4" w:space="0" w:color="FF8200" w:themeColor="text2"/>
            </w:tcBorders>
          </w:tcPr>
          <w:p w14:paraId="7BFC1DE1" w14:textId="77777777" w:rsidR="001C1280" w:rsidRDefault="001C1280" w:rsidP="006A0609">
            <w:pPr>
              <w:pStyle w:val="KeyMsgText"/>
              <w:keepNext/>
              <w:ind w:right="-249"/>
            </w:pPr>
          </w:p>
        </w:tc>
      </w:tr>
      <w:tr w:rsidR="001C1280" w14:paraId="338F95D0"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C4CB383" w14:textId="77777777" w:rsidR="00123503" w:rsidRDefault="00123503" w:rsidP="00123503">
            <w:pPr>
              <w:numPr>
                <w:ilvl w:val="0"/>
                <w:numId w:val="30"/>
              </w:numPr>
              <w:spacing w:before="0" w:after="120"/>
              <w:ind w:left="714" w:hanging="357"/>
              <w:rPr>
                <w:rFonts w:eastAsia="Times New Roman"/>
              </w:rPr>
            </w:pPr>
            <w:r>
              <w:rPr>
                <w:rFonts w:eastAsia="Times New Roman"/>
              </w:rPr>
              <w:t>Strategic thinker able to link change to TOM, culture, customer and partner outcomes.</w:t>
            </w:r>
          </w:p>
          <w:p w14:paraId="158F7133" w14:textId="77777777" w:rsidR="00123503" w:rsidRDefault="00123503" w:rsidP="00123503">
            <w:pPr>
              <w:numPr>
                <w:ilvl w:val="0"/>
                <w:numId w:val="30"/>
              </w:numPr>
              <w:spacing w:before="0" w:after="120"/>
              <w:ind w:left="714" w:hanging="357"/>
              <w:rPr>
                <w:rFonts w:eastAsia="Times New Roman"/>
              </w:rPr>
            </w:pPr>
            <w:r>
              <w:rPr>
                <w:rFonts w:eastAsia="Times New Roman"/>
              </w:rPr>
              <w:t>Politically aware, diplomatic and able to challenge constructively.</w:t>
            </w:r>
          </w:p>
          <w:p w14:paraId="3AF66561" w14:textId="77777777" w:rsidR="00123503" w:rsidRDefault="00123503" w:rsidP="00123503">
            <w:pPr>
              <w:numPr>
                <w:ilvl w:val="0"/>
                <w:numId w:val="30"/>
              </w:numPr>
              <w:spacing w:before="0" w:after="120"/>
              <w:ind w:left="714" w:hanging="357"/>
              <w:rPr>
                <w:rFonts w:eastAsia="Times New Roman"/>
              </w:rPr>
            </w:pPr>
            <w:r>
              <w:rPr>
                <w:rFonts w:eastAsia="Times New Roman"/>
              </w:rPr>
              <w:t>Strong facilitator able to convene leaders, manage differing viewpoints and drive alignment.</w:t>
            </w:r>
          </w:p>
          <w:p w14:paraId="199C0864" w14:textId="77777777" w:rsidR="00123503" w:rsidRDefault="00123503" w:rsidP="00123503">
            <w:pPr>
              <w:numPr>
                <w:ilvl w:val="0"/>
                <w:numId w:val="30"/>
              </w:numPr>
              <w:spacing w:before="0" w:after="120"/>
              <w:ind w:left="714" w:hanging="357"/>
              <w:rPr>
                <w:rFonts w:eastAsia="Times New Roman"/>
              </w:rPr>
            </w:pPr>
            <w:r>
              <w:rPr>
                <w:rFonts w:eastAsia="Times New Roman"/>
              </w:rPr>
              <w:t>Self</w:t>
            </w:r>
            <w:r>
              <w:rPr>
                <w:rFonts w:eastAsia="Times New Roman"/>
              </w:rPr>
              <w:noBreakHyphen/>
              <w:t>starter, proactive and comfortable shaping new practices.</w:t>
            </w:r>
          </w:p>
          <w:p w14:paraId="076472AA" w14:textId="603C1058" w:rsidR="001C1280" w:rsidRPr="00123503" w:rsidRDefault="00123503" w:rsidP="00123503">
            <w:pPr>
              <w:numPr>
                <w:ilvl w:val="0"/>
                <w:numId w:val="30"/>
              </w:numPr>
              <w:spacing w:before="0" w:after="120"/>
              <w:ind w:left="714" w:hanging="357"/>
              <w:rPr>
                <w:rFonts w:eastAsia="Times New Roman"/>
              </w:rPr>
            </w:pPr>
            <w:r>
              <w:rPr>
                <w:rFonts w:eastAsia="Times New Roman"/>
              </w:rPr>
              <w:t>Able to build trust quickly and lead through influence.</w:t>
            </w:r>
          </w:p>
        </w:tc>
      </w:tr>
    </w:tbl>
    <w:p w14:paraId="0BEA7301"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4EEB955E" w14:textId="77777777" w:rsidTr="009D0B61">
        <w:trPr>
          <w:cantSplit/>
          <w:trHeight w:hRule="exact" w:val="20"/>
        </w:trPr>
        <w:tc>
          <w:tcPr>
            <w:tcW w:w="10546" w:type="dxa"/>
            <w:tcBorders>
              <w:bottom w:val="single" w:sz="4" w:space="0" w:color="FF8200" w:themeColor="text2"/>
            </w:tcBorders>
          </w:tcPr>
          <w:p w14:paraId="4D4799FE" w14:textId="77777777" w:rsidR="00176A70" w:rsidRDefault="00176A70" w:rsidP="009D0B61">
            <w:pPr>
              <w:pStyle w:val="KeyMsgText"/>
              <w:keepNext/>
              <w:ind w:right="-249"/>
            </w:pPr>
          </w:p>
        </w:tc>
      </w:tr>
      <w:tr w:rsidR="00176A70" w14:paraId="00E79D2D"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ECE06CC" w14:textId="2419E5F2" w:rsidR="00176A70" w:rsidRPr="000C6725" w:rsidRDefault="003220BB" w:rsidP="009D0B61">
            <w:r>
              <w:t xml:space="preserve">Nest support flexible working and a hybrid approach </w:t>
            </w:r>
            <w:r w:rsidR="00243336">
              <w:t>of office based and home working</w:t>
            </w:r>
          </w:p>
        </w:tc>
      </w:tr>
    </w:tbl>
    <w:p w14:paraId="50856B63"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30407538" w14:textId="77777777" w:rsidTr="009D0B61">
        <w:trPr>
          <w:cantSplit/>
          <w:trHeight w:hRule="exact" w:val="20"/>
        </w:trPr>
        <w:tc>
          <w:tcPr>
            <w:tcW w:w="10546" w:type="dxa"/>
            <w:tcBorders>
              <w:bottom w:val="single" w:sz="4" w:space="0" w:color="FF8200" w:themeColor="text2"/>
            </w:tcBorders>
          </w:tcPr>
          <w:p w14:paraId="2AF5BC2B" w14:textId="77777777" w:rsidR="00176A70" w:rsidRDefault="00176A70" w:rsidP="009D0B61">
            <w:pPr>
              <w:pStyle w:val="KeyMsgText"/>
              <w:keepNext/>
              <w:ind w:right="-249"/>
            </w:pPr>
          </w:p>
        </w:tc>
      </w:tr>
      <w:tr w:rsidR="00176A70" w14:paraId="5BB48E7D"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3DDB6A4" w14:textId="553D26B7" w:rsidR="00176A70" w:rsidRPr="000C6725" w:rsidRDefault="00243336" w:rsidP="009D0B61">
            <w:r>
              <w:t xml:space="preserve">Grade </w:t>
            </w:r>
            <w:r w:rsidR="00F74471">
              <w:t>2</w:t>
            </w:r>
          </w:p>
        </w:tc>
      </w:tr>
    </w:tbl>
    <w:p w14:paraId="38CB343E" w14:textId="77777777" w:rsidR="00F2212E" w:rsidRDefault="00F2212E" w:rsidP="006D3A53"/>
    <w:sdt>
      <w:sdtPr>
        <w:alias w:val="Locked Back Graphics"/>
        <w:tag w:val="Locked Back Graphics"/>
        <w:id w:val="-1298136027"/>
        <w:lock w:val="sdtLocked"/>
        <w:placeholder>
          <w:docPart w:val="E31BBABE5E864A0BA9939AA38A63D58D"/>
        </w:placeholder>
      </w:sdtPr>
      <w:sdtEndPr/>
      <w:sdtContent>
        <w:p w14:paraId="669FF867" w14:textId="77777777" w:rsidR="005C7B64" w:rsidRDefault="00F2212E" w:rsidP="004E67AD">
          <w:pPr>
            <w:pStyle w:val="Spacer"/>
          </w:pPr>
          <w:r>
            <w:rPr>
              <w:noProof/>
            </w:rPr>
            <mc:AlternateContent>
              <mc:Choice Requires="wps">
                <w:drawing>
                  <wp:anchor distT="0" distB="0" distL="0" distR="0" simplePos="0" relativeHeight="251661312" behindDoc="1" locked="1" layoutInCell="1" allowOverlap="1" wp14:anchorId="3AA55C07" wp14:editId="74C85407">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F2212E" w:rsidRPr="00CD20EA" w14:paraId="3DD8043E" w14:textId="77777777" w:rsidTr="00CD20EA">
                                  <w:trPr>
                                    <w:trHeight w:val="1701"/>
                                  </w:trPr>
                                  <w:tc>
                                    <w:tcPr>
                                      <w:tcW w:w="10490"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CD20EA" w:rsidRDefault="00F2212E" w:rsidP="005C7B64">
                                      <w:pPr>
                                        <w:pStyle w:val="NoSpacing"/>
                                        <w:rPr>
                                          <w:color w:val="FFFFFF" w:themeColor="background1"/>
                                          <w:sz w:val="24"/>
                                          <w:lang w:val="it-IT"/>
                                        </w:rPr>
                                      </w:pPr>
                                      <w:r w:rsidRPr="00CD20EA">
                                        <w:rPr>
                                          <w:color w:val="FFFFFF" w:themeColor="background1"/>
                                          <w:sz w:val="24"/>
                                          <w:lang w:val="it-IT"/>
                                        </w:rPr>
                                        <w:t>London, E14 4PZ</w:t>
                                      </w:r>
                                    </w:p>
                                    <w:p w14:paraId="2F9FC0F6" w14:textId="77777777" w:rsidR="0064205F" w:rsidRPr="00CD20EA" w:rsidRDefault="0064205F" w:rsidP="005C7B64">
                                      <w:pPr>
                                        <w:pStyle w:val="NoSpacing"/>
                                        <w:rPr>
                                          <w:color w:val="FFFFFF" w:themeColor="background1"/>
                                          <w:sz w:val="24"/>
                                          <w:lang w:val="it-IT"/>
                                        </w:rPr>
                                      </w:pPr>
                                    </w:p>
                                    <w:p w14:paraId="26F1B3DB" w14:textId="77777777" w:rsidR="00F2212E" w:rsidRDefault="00F2212E" w:rsidP="005C7B64">
                                      <w:pPr>
                                        <w:pStyle w:val="NoSpacing"/>
                                        <w:rPr>
                                          <w:rStyle w:val="Hyperlink"/>
                                          <w:color w:val="FFFFFF" w:themeColor="background1"/>
                                          <w:sz w:val="28"/>
                                          <w:u w:val="none"/>
                                        </w:rPr>
                                      </w:pPr>
                                      <w:hyperlink r:id="rId10" w:history="1">
                                        <w:r w:rsidRPr="00CD20EA">
                                          <w:rPr>
                                            <w:rStyle w:val="Hyperlink"/>
                                            <w:color w:val="FFFFFF" w:themeColor="background1"/>
                                            <w:sz w:val="28"/>
                                            <w:u w:val="none"/>
                                            <w:lang w:val="it-IT"/>
                                          </w:rPr>
                                          <w:t>nestpensions.org.uk</w:t>
                                        </w:r>
                                      </w:hyperlink>
                                    </w:p>
                                    <w:p w14:paraId="63492C82" w14:textId="77777777" w:rsidR="00CD20EA" w:rsidRDefault="00CD20EA" w:rsidP="005C7B64">
                                      <w:pPr>
                                        <w:pStyle w:val="NoSpacing"/>
                                        <w:rPr>
                                          <w:rStyle w:val="Hyperlink"/>
                                          <w:sz w:val="28"/>
                                        </w:rPr>
                                      </w:pPr>
                                    </w:p>
                                    <w:p w14:paraId="1EBA5EB5" w14:textId="3D6A14FB" w:rsidR="00CD20EA" w:rsidRPr="00CD20EA" w:rsidRDefault="00CD20EA"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6ED00836" w14:textId="77777777" w:rsidR="00F2212E" w:rsidRPr="00CD20EA" w:rsidRDefault="00F2212E" w:rsidP="005C7B64">
                                      <w:pPr>
                                        <w:pStyle w:val="NoSpacing"/>
                                        <w:jc w:val="right"/>
                                        <w:rPr>
                                          <w:color w:val="FF7882"/>
                                          <w:sz w:val="16"/>
                                        </w:rPr>
                                      </w:pPr>
                                    </w:p>
                                  </w:tc>
                                </w:tr>
                              </w:tbl>
                              <w:p w14:paraId="2327857C" w14:textId="77777777" w:rsidR="00F2212E" w:rsidRPr="00CD20EA"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AA55C07" id="ColouredShape" o:spid="_x0000_s1026" style="position:absolute;margin-left:0;margin-top:0;width:595.3pt;height:155.9pt;z-index:-251655168;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F2212E" w:rsidRPr="00CD20EA" w14:paraId="3DD8043E" w14:textId="77777777" w:rsidTr="00CD20EA">
                            <w:trPr>
                              <w:trHeight w:val="1701"/>
                            </w:trPr>
                            <w:tc>
                              <w:tcPr>
                                <w:tcW w:w="10490"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CD20EA" w:rsidRDefault="00F2212E" w:rsidP="005C7B64">
                                <w:pPr>
                                  <w:pStyle w:val="NoSpacing"/>
                                  <w:rPr>
                                    <w:color w:val="FFFFFF" w:themeColor="background1"/>
                                    <w:sz w:val="24"/>
                                    <w:lang w:val="it-IT"/>
                                  </w:rPr>
                                </w:pPr>
                                <w:r w:rsidRPr="00CD20EA">
                                  <w:rPr>
                                    <w:color w:val="FFFFFF" w:themeColor="background1"/>
                                    <w:sz w:val="24"/>
                                    <w:lang w:val="it-IT"/>
                                  </w:rPr>
                                  <w:t>London, E14 4PZ</w:t>
                                </w:r>
                              </w:p>
                              <w:p w14:paraId="2F9FC0F6" w14:textId="77777777" w:rsidR="0064205F" w:rsidRPr="00CD20EA" w:rsidRDefault="0064205F" w:rsidP="005C7B64">
                                <w:pPr>
                                  <w:pStyle w:val="NoSpacing"/>
                                  <w:rPr>
                                    <w:color w:val="FFFFFF" w:themeColor="background1"/>
                                    <w:sz w:val="24"/>
                                    <w:lang w:val="it-IT"/>
                                  </w:rPr>
                                </w:pPr>
                              </w:p>
                              <w:p w14:paraId="26F1B3DB" w14:textId="77777777" w:rsidR="00F2212E" w:rsidRDefault="00F2212E" w:rsidP="005C7B64">
                                <w:pPr>
                                  <w:pStyle w:val="NoSpacing"/>
                                  <w:rPr>
                                    <w:rStyle w:val="Hyperlink"/>
                                    <w:color w:val="FFFFFF" w:themeColor="background1"/>
                                    <w:sz w:val="28"/>
                                    <w:u w:val="none"/>
                                  </w:rPr>
                                </w:pPr>
                                <w:hyperlink r:id="rId11" w:history="1">
                                  <w:r w:rsidRPr="00CD20EA">
                                    <w:rPr>
                                      <w:rStyle w:val="Hyperlink"/>
                                      <w:color w:val="FFFFFF" w:themeColor="background1"/>
                                      <w:sz w:val="28"/>
                                      <w:u w:val="none"/>
                                      <w:lang w:val="it-IT"/>
                                    </w:rPr>
                                    <w:t>nestpensions.org.uk</w:t>
                                  </w:r>
                                </w:hyperlink>
                              </w:p>
                              <w:p w14:paraId="63492C82" w14:textId="77777777" w:rsidR="00CD20EA" w:rsidRDefault="00CD20EA" w:rsidP="005C7B64">
                                <w:pPr>
                                  <w:pStyle w:val="NoSpacing"/>
                                  <w:rPr>
                                    <w:rStyle w:val="Hyperlink"/>
                                    <w:sz w:val="28"/>
                                  </w:rPr>
                                </w:pPr>
                              </w:p>
                              <w:p w14:paraId="1EBA5EB5" w14:textId="3D6A14FB" w:rsidR="00CD20EA" w:rsidRPr="00CD20EA" w:rsidRDefault="00CD20EA"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6ED00836" w14:textId="77777777" w:rsidR="00F2212E" w:rsidRPr="00CD20EA" w:rsidRDefault="00F2212E" w:rsidP="005C7B64">
                                <w:pPr>
                                  <w:pStyle w:val="NoSpacing"/>
                                  <w:jc w:val="right"/>
                                  <w:rPr>
                                    <w:color w:val="FF7882"/>
                                    <w:sz w:val="16"/>
                                  </w:rPr>
                                </w:pPr>
                              </w:p>
                            </w:tc>
                          </w:tr>
                        </w:tbl>
                        <w:p w14:paraId="2327857C" w14:textId="77777777" w:rsidR="00F2212E" w:rsidRPr="00CD20EA" w:rsidRDefault="00F2212E" w:rsidP="00F2212E">
                          <w:pPr>
                            <w:pStyle w:val="Spacer"/>
                          </w:pPr>
                        </w:p>
                      </w:txbxContent>
                    </v:textbox>
                    <w10:wrap type="square" anchorx="page" anchory="page"/>
                    <w10:anchorlock/>
                  </v:rect>
                </w:pict>
              </mc:Fallback>
            </mc:AlternateContent>
          </w:r>
        </w:p>
      </w:sdtContent>
    </w:sdt>
    <w:p w14:paraId="22096501" w14:textId="77777777" w:rsidR="00F2212E" w:rsidRDefault="00F2212E" w:rsidP="00F2212E">
      <w:pPr>
        <w:pStyle w:val="Hidden"/>
        <w:framePr w:wrap="around"/>
      </w:pPr>
    </w:p>
    <w:sectPr w:rsidR="00F2212E" w:rsidSect="000C6725">
      <w:headerReference w:type="even" r:id="rId12"/>
      <w:headerReference w:type="default" r:id="rId13"/>
      <w:footerReference w:type="even" r:id="rId14"/>
      <w:footerReference w:type="default" r:id="rId15"/>
      <w:headerReference w:type="first" r:id="rId16"/>
      <w:footerReference w:type="first" r:id="rId17"/>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0061E" w14:textId="77777777" w:rsidR="00E518A5" w:rsidRDefault="00E518A5" w:rsidP="00540F52">
      <w:r>
        <w:separator/>
      </w:r>
    </w:p>
  </w:endnote>
  <w:endnote w:type="continuationSeparator" w:id="0">
    <w:p w14:paraId="371ED88A" w14:textId="77777777" w:rsidR="00E518A5" w:rsidRDefault="00E518A5"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2CF5"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7E46A398" w14:textId="77777777" w:rsidTr="00F2212E">
      <w:trPr>
        <w:trHeight w:val="283"/>
      </w:trPr>
      <w:tc>
        <w:tcPr>
          <w:tcW w:w="9072" w:type="dxa"/>
          <w:vAlign w:val="bottom"/>
        </w:tcPr>
        <w:p w14:paraId="72B74739"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7C34524F"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76FF0B02"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4C32D504" w14:textId="77777777" w:rsidTr="001E7B00">
      <w:trPr>
        <w:trHeight w:val="397"/>
      </w:trPr>
      <w:tc>
        <w:tcPr>
          <w:tcW w:w="7938" w:type="dxa"/>
          <w:vAlign w:val="bottom"/>
        </w:tcPr>
        <w:p w14:paraId="4D7F88F4"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7B1476">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7B1476">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30B5DED8"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5522DE68"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EB72A" w14:textId="77777777" w:rsidR="00E518A5" w:rsidRPr="00861B99" w:rsidRDefault="00E518A5" w:rsidP="00540F52">
      <w:pPr>
        <w:rPr>
          <w:color w:val="E6E3D9" w:themeColor="background2"/>
        </w:rPr>
      </w:pPr>
      <w:r w:rsidRPr="00861B99">
        <w:rPr>
          <w:color w:val="E6E3D9" w:themeColor="background2"/>
        </w:rPr>
        <w:separator/>
      </w:r>
    </w:p>
  </w:footnote>
  <w:footnote w:type="continuationSeparator" w:id="0">
    <w:p w14:paraId="715C1853" w14:textId="77777777" w:rsidR="00E518A5" w:rsidRPr="00861B99" w:rsidRDefault="00E518A5"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50FC"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3EF9F9BD" w14:textId="77777777" w:rsidTr="00336372">
      <w:trPr>
        <w:cantSplit/>
        <w:trHeight w:hRule="exact" w:val="283"/>
      </w:trPr>
      <w:tc>
        <w:tcPr>
          <w:tcW w:w="10545" w:type="dxa"/>
        </w:tcPr>
        <w:p w14:paraId="08945E80" w14:textId="49CC3E56"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rsidR="00607D40">
            <w:fldChar w:fldCharType="separate"/>
          </w:r>
          <w:r w:rsidR="00F74471">
            <w:rPr>
              <w:noProof/>
            </w:rPr>
            <w:instrText>Head of Enterprise Change Management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rsidR="00607D40">
            <w:fldChar w:fldCharType="separate"/>
          </w:r>
          <w:r w:rsidR="00F74471">
            <w:rPr>
              <w:noProof/>
            </w:rPr>
            <w:instrText>Head of Enterprise Change Management</w:instrText>
          </w:r>
          <w:r>
            <w:fldChar w:fldCharType="end"/>
          </w:r>
          <w:r w:rsidRPr="00E47272">
            <w:rPr>
              <w:rFonts w:asciiTheme="majorHAnsi" w:hAnsiTheme="majorHAnsi"/>
            </w:rPr>
            <w:instrText xml:space="preserve">" </w:instrText>
          </w:r>
          <w:r w:rsidR="00607D40">
            <w:rPr>
              <w:rFonts w:asciiTheme="majorHAnsi" w:hAnsiTheme="majorHAnsi"/>
            </w:rPr>
            <w:fldChar w:fldCharType="separate"/>
          </w:r>
          <w:r w:rsidR="00F74471">
            <w:rPr>
              <w:noProof/>
            </w:rPr>
            <w:t>Head of Enterprise Change Management</w:t>
          </w:r>
          <w:r w:rsidRPr="00E47272">
            <w:rPr>
              <w:rFonts w:asciiTheme="majorHAnsi" w:hAnsiTheme="majorHAnsi"/>
            </w:rPr>
            <w:fldChar w:fldCharType="end"/>
          </w:r>
        </w:p>
      </w:tc>
    </w:tr>
  </w:tbl>
  <w:p w14:paraId="16EEAC11"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693F"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AAD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E89A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24C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45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526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E86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FC2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D849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A075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5652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57BB5"/>
    <w:multiLevelType w:val="multilevel"/>
    <w:tmpl w:val="618A4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A52FE1"/>
    <w:multiLevelType w:val="multilevel"/>
    <w:tmpl w:val="24ECD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D712C58"/>
    <w:multiLevelType w:val="multilevel"/>
    <w:tmpl w:val="EF7C1A16"/>
    <w:numStyleLink w:val="SecListStyle"/>
  </w:abstractNum>
  <w:abstractNum w:abstractNumId="15"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6" w15:restartNumberingAfterBreak="0">
    <w:nsid w:val="20296F4C"/>
    <w:multiLevelType w:val="multilevel"/>
    <w:tmpl w:val="2EF00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0C4AE3"/>
    <w:multiLevelType w:val="multilevel"/>
    <w:tmpl w:val="53F42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9" w15:restartNumberingAfterBreak="0">
    <w:nsid w:val="2F6D1599"/>
    <w:multiLevelType w:val="multilevel"/>
    <w:tmpl w:val="64044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2"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3"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54F507D3"/>
    <w:multiLevelType w:val="multilevel"/>
    <w:tmpl w:val="A83EF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9E4FFE"/>
    <w:multiLevelType w:val="multilevel"/>
    <w:tmpl w:val="300E1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4A4179"/>
    <w:multiLevelType w:val="multilevel"/>
    <w:tmpl w:val="1AA48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21B70"/>
    <w:multiLevelType w:val="multilevel"/>
    <w:tmpl w:val="99388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9" w15:restartNumberingAfterBreak="0">
    <w:nsid w:val="715D56D2"/>
    <w:multiLevelType w:val="multilevel"/>
    <w:tmpl w:val="04162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427848829">
    <w:abstractNumId w:val="22"/>
  </w:num>
  <w:num w:numId="2" w16cid:durableId="638070992">
    <w:abstractNumId w:val="20"/>
  </w:num>
  <w:num w:numId="3" w16cid:durableId="667245452">
    <w:abstractNumId w:val="30"/>
  </w:num>
  <w:num w:numId="4" w16cid:durableId="134031454">
    <w:abstractNumId w:val="31"/>
  </w:num>
  <w:num w:numId="5" w16cid:durableId="358047994">
    <w:abstractNumId w:val="20"/>
  </w:num>
  <w:num w:numId="6" w16cid:durableId="1254898030">
    <w:abstractNumId w:val="22"/>
  </w:num>
  <w:num w:numId="7" w16cid:durableId="2038458234">
    <w:abstractNumId w:val="23"/>
  </w:num>
  <w:num w:numId="8" w16cid:durableId="247037602">
    <w:abstractNumId w:val="28"/>
  </w:num>
  <w:num w:numId="9" w16cid:durableId="10835341">
    <w:abstractNumId w:val="15"/>
  </w:num>
  <w:num w:numId="10" w16cid:durableId="2078237131">
    <w:abstractNumId w:val="9"/>
  </w:num>
  <w:num w:numId="11" w16cid:durableId="134613875">
    <w:abstractNumId w:val="7"/>
  </w:num>
  <w:num w:numId="12" w16cid:durableId="1043752453">
    <w:abstractNumId w:val="6"/>
  </w:num>
  <w:num w:numId="13" w16cid:durableId="1556700841">
    <w:abstractNumId w:val="5"/>
  </w:num>
  <w:num w:numId="14" w16cid:durableId="120658255">
    <w:abstractNumId w:val="4"/>
  </w:num>
  <w:num w:numId="15" w16cid:durableId="1794134663">
    <w:abstractNumId w:val="8"/>
  </w:num>
  <w:num w:numId="16" w16cid:durableId="307705966">
    <w:abstractNumId w:val="3"/>
  </w:num>
  <w:num w:numId="17" w16cid:durableId="26571071">
    <w:abstractNumId w:val="2"/>
  </w:num>
  <w:num w:numId="18" w16cid:durableId="1476604510">
    <w:abstractNumId w:val="1"/>
  </w:num>
  <w:num w:numId="19" w16cid:durableId="1499031369">
    <w:abstractNumId w:val="0"/>
  </w:num>
  <w:num w:numId="20" w16cid:durableId="1374115362">
    <w:abstractNumId w:val="12"/>
  </w:num>
  <w:num w:numId="21" w16cid:durableId="2103449095">
    <w:abstractNumId w:val="21"/>
  </w:num>
  <w:num w:numId="22" w16cid:durableId="625354927">
    <w:abstractNumId w:val="14"/>
  </w:num>
  <w:num w:numId="23" w16cid:durableId="1461142891">
    <w:abstractNumId w:val="23"/>
  </w:num>
  <w:num w:numId="24" w16cid:durableId="117376749">
    <w:abstractNumId w:val="23"/>
  </w:num>
  <w:num w:numId="25" w16cid:durableId="1407415367">
    <w:abstractNumId w:val="23"/>
  </w:num>
  <w:num w:numId="26" w16cid:durableId="1190988772">
    <w:abstractNumId w:val="16"/>
  </w:num>
  <w:num w:numId="27" w16cid:durableId="2039116522">
    <w:abstractNumId w:val="10"/>
  </w:num>
  <w:num w:numId="28" w16cid:durableId="1473250188">
    <w:abstractNumId w:val="17"/>
  </w:num>
  <w:num w:numId="29" w16cid:durableId="1359695771">
    <w:abstractNumId w:val="11"/>
  </w:num>
  <w:num w:numId="30" w16cid:durableId="1878934973">
    <w:abstractNumId w:val="26"/>
  </w:num>
  <w:num w:numId="31" w16cid:durableId="715157128">
    <w:abstractNumId w:val="24"/>
    <w:lvlOverride w:ilvl="0"/>
    <w:lvlOverride w:ilvl="1"/>
    <w:lvlOverride w:ilvl="2"/>
    <w:lvlOverride w:ilvl="3"/>
    <w:lvlOverride w:ilvl="4"/>
    <w:lvlOverride w:ilvl="5"/>
    <w:lvlOverride w:ilvl="6"/>
    <w:lvlOverride w:ilvl="7"/>
    <w:lvlOverride w:ilvl="8"/>
  </w:num>
  <w:num w:numId="32" w16cid:durableId="729692752">
    <w:abstractNumId w:val="25"/>
    <w:lvlOverride w:ilvl="0"/>
    <w:lvlOverride w:ilvl="1"/>
    <w:lvlOverride w:ilvl="2"/>
    <w:lvlOverride w:ilvl="3"/>
    <w:lvlOverride w:ilvl="4"/>
    <w:lvlOverride w:ilvl="5"/>
    <w:lvlOverride w:ilvl="6"/>
    <w:lvlOverride w:ilvl="7"/>
    <w:lvlOverride w:ilvl="8"/>
  </w:num>
  <w:num w:numId="33" w16cid:durableId="1019353946">
    <w:abstractNumId w:val="29"/>
    <w:lvlOverride w:ilvl="0"/>
    <w:lvlOverride w:ilvl="1"/>
    <w:lvlOverride w:ilvl="2"/>
    <w:lvlOverride w:ilvl="3"/>
    <w:lvlOverride w:ilvl="4"/>
    <w:lvlOverride w:ilvl="5"/>
    <w:lvlOverride w:ilvl="6"/>
    <w:lvlOverride w:ilvl="7"/>
    <w:lvlOverride w:ilvl="8"/>
  </w:num>
  <w:num w:numId="34" w16cid:durableId="1890654160">
    <w:abstractNumId w:val="27"/>
    <w:lvlOverride w:ilvl="0"/>
    <w:lvlOverride w:ilvl="1"/>
    <w:lvlOverride w:ilvl="2"/>
    <w:lvlOverride w:ilvl="3"/>
    <w:lvlOverride w:ilvl="4"/>
    <w:lvlOverride w:ilvl="5"/>
    <w:lvlOverride w:ilvl="6"/>
    <w:lvlOverride w:ilvl="7"/>
    <w:lvlOverride w:ilvl="8"/>
  </w:num>
  <w:num w:numId="35" w16cid:durableId="852956134">
    <w:abstractNumId w:val="19"/>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76"/>
    <w:rsid w:val="00003A00"/>
    <w:rsid w:val="000041CA"/>
    <w:rsid w:val="00004B94"/>
    <w:rsid w:val="0001096A"/>
    <w:rsid w:val="00012791"/>
    <w:rsid w:val="000170EC"/>
    <w:rsid w:val="00020299"/>
    <w:rsid w:val="000672FB"/>
    <w:rsid w:val="0006764F"/>
    <w:rsid w:val="000711D1"/>
    <w:rsid w:val="0009764F"/>
    <w:rsid w:val="000A5EAB"/>
    <w:rsid w:val="000B70A9"/>
    <w:rsid w:val="000C6725"/>
    <w:rsid w:val="000C7A6F"/>
    <w:rsid w:val="000D055E"/>
    <w:rsid w:val="000D238B"/>
    <w:rsid w:val="000E52BD"/>
    <w:rsid w:val="000F2D3D"/>
    <w:rsid w:val="00112CCB"/>
    <w:rsid w:val="00115822"/>
    <w:rsid w:val="00123503"/>
    <w:rsid w:val="001255EF"/>
    <w:rsid w:val="00141FF2"/>
    <w:rsid w:val="001475B3"/>
    <w:rsid w:val="00162264"/>
    <w:rsid w:val="00162DA4"/>
    <w:rsid w:val="0016532E"/>
    <w:rsid w:val="00172579"/>
    <w:rsid w:val="00176A70"/>
    <w:rsid w:val="00180354"/>
    <w:rsid w:val="00184014"/>
    <w:rsid w:val="0019565D"/>
    <w:rsid w:val="001A15EE"/>
    <w:rsid w:val="001A6416"/>
    <w:rsid w:val="001B36D9"/>
    <w:rsid w:val="001B769D"/>
    <w:rsid w:val="001C1280"/>
    <w:rsid w:val="001C4090"/>
    <w:rsid w:val="001E1F13"/>
    <w:rsid w:val="001E7B00"/>
    <w:rsid w:val="001F03E2"/>
    <w:rsid w:val="001F1375"/>
    <w:rsid w:val="001F4921"/>
    <w:rsid w:val="001F5965"/>
    <w:rsid w:val="00201F3B"/>
    <w:rsid w:val="0020649B"/>
    <w:rsid w:val="002110DB"/>
    <w:rsid w:val="00213108"/>
    <w:rsid w:val="00224FA9"/>
    <w:rsid w:val="002368C5"/>
    <w:rsid w:val="00237382"/>
    <w:rsid w:val="00243336"/>
    <w:rsid w:val="00245E0E"/>
    <w:rsid w:val="00255298"/>
    <w:rsid w:val="00272BF2"/>
    <w:rsid w:val="00275E16"/>
    <w:rsid w:val="00282F0D"/>
    <w:rsid w:val="002A5DEB"/>
    <w:rsid w:val="002C482B"/>
    <w:rsid w:val="002C7BE6"/>
    <w:rsid w:val="002F1B8E"/>
    <w:rsid w:val="002F337F"/>
    <w:rsid w:val="002F4726"/>
    <w:rsid w:val="00300248"/>
    <w:rsid w:val="00301AC8"/>
    <w:rsid w:val="00303266"/>
    <w:rsid w:val="00303A10"/>
    <w:rsid w:val="00303ACE"/>
    <w:rsid w:val="003075C6"/>
    <w:rsid w:val="003166E3"/>
    <w:rsid w:val="003220BB"/>
    <w:rsid w:val="00326A8C"/>
    <w:rsid w:val="0033044F"/>
    <w:rsid w:val="0034634D"/>
    <w:rsid w:val="003535D4"/>
    <w:rsid w:val="0035554B"/>
    <w:rsid w:val="00364CD8"/>
    <w:rsid w:val="003855C8"/>
    <w:rsid w:val="003942C3"/>
    <w:rsid w:val="003A0291"/>
    <w:rsid w:val="003B3D63"/>
    <w:rsid w:val="003B495A"/>
    <w:rsid w:val="00400E40"/>
    <w:rsid w:val="004062F4"/>
    <w:rsid w:val="004151AD"/>
    <w:rsid w:val="00421979"/>
    <w:rsid w:val="00425C0C"/>
    <w:rsid w:val="004516B8"/>
    <w:rsid w:val="00467260"/>
    <w:rsid w:val="00472E72"/>
    <w:rsid w:val="004738A5"/>
    <w:rsid w:val="0049056F"/>
    <w:rsid w:val="004A1348"/>
    <w:rsid w:val="004B3F40"/>
    <w:rsid w:val="004B6243"/>
    <w:rsid w:val="004C4D86"/>
    <w:rsid w:val="004D376F"/>
    <w:rsid w:val="004D49C5"/>
    <w:rsid w:val="004D7793"/>
    <w:rsid w:val="004E2E9E"/>
    <w:rsid w:val="004E67AD"/>
    <w:rsid w:val="00501B39"/>
    <w:rsid w:val="00505F5C"/>
    <w:rsid w:val="00514A63"/>
    <w:rsid w:val="00536C3A"/>
    <w:rsid w:val="00537052"/>
    <w:rsid w:val="00540DDE"/>
    <w:rsid w:val="00540F52"/>
    <w:rsid w:val="005522B4"/>
    <w:rsid w:val="00577663"/>
    <w:rsid w:val="005820AD"/>
    <w:rsid w:val="00582BE5"/>
    <w:rsid w:val="0059270B"/>
    <w:rsid w:val="005A706D"/>
    <w:rsid w:val="005C7B64"/>
    <w:rsid w:val="005D7F2B"/>
    <w:rsid w:val="005F7D7E"/>
    <w:rsid w:val="00607D40"/>
    <w:rsid w:val="00624D6E"/>
    <w:rsid w:val="0064205F"/>
    <w:rsid w:val="00653005"/>
    <w:rsid w:val="00653464"/>
    <w:rsid w:val="00654A00"/>
    <w:rsid w:val="006644CB"/>
    <w:rsid w:val="0066535F"/>
    <w:rsid w:val="006664EB"/>
    <w:rsid w:val="00667906"/>
    <w:rsid w:val="00667BC0"/>
    <w:rsid w:val="0068057A"/>
    <w:rsid w:val="00682AAA"/>
    <w:rsid w:val="00684C33"/>
    <w:rsid w:val="0069774A"/>
    <w:rsid w:val="006A0609"/>
    <w:rsid w:val="006B7429"/>
    <w:rsid w:val="006D2507"/>
    <w:rsid w:val="006D3A53"/>
    <w:rsid w:val="006D7107"/>
    <w:rsid w:val="006E2007"/>
    <w:rsid w:val="006E54BD"/>
    <w:rsid w:val="00703258"/>
    <w:rsid w:val="00703279"/>
    <w:rsid w:val="0072026F"/>
    <w:rsid w:val="00722371"/>
    <w:rsid w:val="007267C1"/>
    <w:rsid w:val="00734564"/>
    <w:rsid w:val="007667DF"/>
    <w:rsid w:val="00767330"/>
    <w:rsid w:val="00771F31"/>
    <w:rsid w:val="00785319"/>
    <w:rsid w:val="00794CFA"/>
    <w:rsid w:val="007B1476"/>
    <w:rsid w:val="007B7533"/>
    <w:rsid w:val="007D1CA5"/>
    <w:rsid w:val="007E12F9"/>
    <w:rsid w:val="007E34AE"/>
    <w:rsid w:val="007E6610"/>
    <w:rsid w:val="007E7EB3"/>
    <w:rsid w:val="007F4A0B"/>
    <w:rsid w:val="0081128D"/>
    <w:rsid w:val="00815032"/>
    <w:rsid w:val="00821203"/>
    <w:rsid w:val="0082303C"/>
    <w:rsid w:val="00823BC8"/>
    <w:rsid w:val="00824561"/>
    <w:rsid w:val="0083070E"/>
    <w:rsid w:val="00831D36"/>
    <w:rsid w:val="008339D4"/>
    <w:rsid w:val="00835705"/>
    <w:rsid w:val="00861B99"/>
    <w:rsid w:val="00870518"/>
    <w:rsid w:val="00871823"/>
    <w:rsid w:val="00885DBD"/>
    <w:rsid w:val="0088708F"/>
    <w:rsid w:val="00890591"/>
    <w:rsid w:val="00897006"/>
    <w:rsid w:val="008A180C"/>
    <w:rsid w:val="008E10D9"/>
    <w:rsid w:val="008E46E7"/>
    <w:rsid w:val="008F0612"/>
    <w:rsid w:val="00900C1F"/>
    <w:rsid w:val="00923366"/>
    <w:rsid w:val="0092593D"/>
    <w:rsid w:val="009341FA"/>
    <w:rsid w:val="00942272"/>
    <w:rsid w:val="0094513F"/>
    <w:rsid w:val="009462D0"/>
    <w:rsid w:val="00952455"/>
    <w:rsid w:val="00973D95"/>
    <w:rsid w:val="00974426"/>
    <w:rsid w:val="0097713D"/>
    <w:rsid w:val="00984946"/>
    <w:rsid w:val="00985D74"/>
    <w:rsid w:val="00987898"/>
    <w:rsid w:val="009B15F1"/>
    <w:rsid w:val="009B34D9"/>
    <w:rsid w:val="009C3F82"/>
    <w:rsid w:val="009E3356"/>
    <w:rsid w:val="00A031FA"/>
    <w:rsid w:val="00A41436"/>
    <w:rsid w:val="00A53C3B"/>
    <w:rsid w:val="00A55398"/>
    <w:rsid w:val="00A711CD"/>
    <w:rsid w:val="00A72151"/>
    <w:rsid w:val="00A92508"/>
    <w:rsid w:val="00AB3E24"/>
    <w:rsid w:val="00AF5CF2"/>
    <w:rsid w:val="00B02C86"/>
    <w:rsid w:val="00B06591"/>
    <w:rsid w:val="00B105DC"/>
    <w:rsid w:val="00B266F7"/>
    <w:rsid w:val="00B30E61"/>
    <w:rsid w:val="00B82E49"/>
    <w:rsid w:val="00BA3E72"/>
    <w:rsid w:val="00BA4070"/>
    <w:rsid w:val="00BB05CB"/>
    <w:rsid w:val="00BC4CA7"/>
    <w:rsid w:val="00BD292E"/>
    <w:rsid w:val="00BD516D"/>
    <w:rsid w:val="00BD5677"/>
    <w:rsid w:val="00BE1F3A"/>
    <w:rsid w:val="00BF4A69"/>
    <w:rsid w:val="00BF6755"/>
    <w:rsid w:val="00C0572D"/>
    <w:rsid w:val="00C32C01"/>
    <w:rsid w:val="00C55E23"/>
    <w:rsid w:val="00C56D53"/>
    <w:rsid w:val="00C65A9A"/>
    <w:rsid w:val="00C66079"/>
    <w:rsid w:val="00C76629"/>
    <w:rsid w:val="00CA669B"/>
    <w:rsid w:val="00CB1E37"/>
    <w:rsid w:val="00CB3AAE"/>
    <w:rsid w:val="00CB4384"/>
    <w:rsid w:val="00CD20EA"/>
    <w:rsid w:val="00CE775C"/>
    <w:rsid w:val="00CF6BE0"/>
    <w:rsid w:val="00D10FFA"/>
    <w:rsid w:val="00D236EC"/>
    <w:rsid w:val="00D25671"/>
    <w:rsid w:val="00D353FF"/>
    <w:rsid w:val="00D7501F"/>
    <w:rsid w:val="00D87F3B"/>
    <w:rsid w:val="00D95195"/>
    <w:rsid w:val="00DC58D8"/>
    <w:rsid w:val="00DD273B"/>
    <w:rsid w:val="00DF34EA"/>
    <w:rsid w:val="00E17BBF"/>
    <w:rsid w:val="00E21352"/>
    <w:rsid w:val="00E2259E"/>
    <w:rsid w:val="00E2315D"/>
    <w:rsid w:val="00E23BE6"/>
    <w:rsid w:val="00E518A5"/>
    <w:rsid w:val="00E6057E"/>
    <w:rsid w:val="00E806CF"/>
    <w:rsid w:val="00E85A69"/>
    <w:rsid w:val="00E86B42"/>
    <w:rsid w:val="00E967F5"/>
    <w:rsid w:val="00EB518A"/>
    <w:rsid w:val="00EB74B7"/>
    <w:rsid w:val="00EC004A"/>
    <w:rsid w:val="00EC2484"/>
    <w:rsid w:val="00EE28A9"/>
    <w:rsid w:val="00F2212E"/>
    <w:rsid w:val="00F2624A"/>
    <w:rsid w:val="00F30DE0"/>
    <w:rsid w:val="00F368D9"/>
    <w:rsid w:val="00F56589"/>
    <w:rsid w:val="00F667D6"/>
    <w:rsid w:val="00F74471"/>
    <w:rsid w:val="00F8527B"/>
    <w:rsid w:val="00FA0B93"/>
    <w:rsid w:val="00FA5B65"/>
    <w:rsid w:val="00FC18B1"/>
    <w:rsid w:val="00FD2D49"/>
    <w:rsid w:val="00FD4713"/>
    <w:rsid w:val="00FF1D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1CA3"/>
  <w15:chartTrackingRefBased/>
  <w15:docId w15:val="{FD91CDA3-0000-40CB-8ACF-843AAF57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semiHidden/>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stpensions.org.uk/schemeweb/nest.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estpensions.org.uk/schemeweb/nest.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BB81C28654F50B0FA8DB5311498E4"/>
        <w:category>
          <w:name w:val="General"/>
          <w:gallery w:val="placeholder"/>
        </w:category>
        <w:types>
          <w:type w:val="bbPlcHdr"/>
        </w:types>
        <w:behaviors>
          <w:behavior w:val="content"/>
        </w:behaviors>
        <w:guid w:val="{92A1B6A9-C85C-4A6D-B0A3-1650D3190D87}"/>
      </w:docPartPr>
      <w:docPartBody>
        <w:p w:rsidR="00423A1A" w:rsidRDefault="00722C7E">
          <w:pPr>
            <w:pStyle w:val="271BB81C28654F50B0FA8DB5311498E4"/>
          </w:pPr>
          <w:r w:rsidRPr="00D279CC">
            <w:rPr>
              <w:rStyle w:val="PlaceholderText"/>
            </w:rPr>
            <w:t>Click or tap here to enter text.</w:t>
          </w:r>
        </w:p>
      </w:docPartBody>
    </w:docPart>
    <w:docPart>
      <w:docPartPr>
        <w:name w:val="60B21812823C4A4FBAC9ABA5FAAB026F"/>
        <w:category>
          <w:name w:val="General"/>
          <w:gallery w:val="placeholder"/>
        </w:category>
        <w:types>
          <w:type w:val="bbPlcHdr"/>
        </w:types>
        <w:behaviors>
          <w:behavior w:val="content"/>
        </w:behaviors>
        <w:guid w:val="{3040CAE4-BE9C-4464-9D65-A2D31C9CC485}"/>
      </w:docPartPr>
      <w:docPartBody>
        <w:p w:rsidR="00423A1A" w:rsidRDefault="00722C7E">
          <w:pPr>
            <w:pStyle w:val="60B21812823C4A4FBAC9ABA5FAAB026F"/>
          </w:pPr>
          <w:r>
            <w:t>Choose an item.</w:t>
          </w:r>
        </w:p>
      </w:docPartBody>
    </w:docPart>
    <w:docPart>
      <w:docPartPr>
        <w:name w:val="E31BBABE5E864A0BA9939AA38A63D58D"/>
        <w:category>
          <w:name w:val="General"/>
          <w:gallery w:val="placeholder"/>
        </w:category>
        <w:types>
          <w:type w:val="bbPlcHdr"/>
        </w:types>
        <w:behaviors>
          <w:behavior w:val="content"/>
        </w:behaviors>
        <w:guid w:val="{EC33AE6E-73DC-4773-95CF-E351A139DCE0}"/>
      </w:docPartPr>
      <w:docPartBody>
        <w:p w:rsidR="00423A1A" w:rsidRDefault="00722C7E">
          <w:pPr>
            <w:pStyle w:val="E31BBABE5E864A0BA9939AA38A63D58D"/>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1A"/>
    <w:rsid w:val="001E1F13"/>
    <w:rsid w:val="002C7BE6"/>
    <w:rsid w:val="00423A1A"/>
    <w:rsid w:val="0050094D"/>
    <w:rsid w:val="00722C7E"/>
    <w:rsid w:val="00742F5D"/>
    <w:rsid w:val="00EE28A9"/>
    <w:rsid w:val="00F767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1BB81C28654F50B0FA8DB5311498E4">
    <w:name w:val="271BB81C28654F50B0FA8DB5311498E4"/>
  </w:style>
  <w:style w:type="paragraph" w:customStyle="1" w:styleId="60B21812823C4A4FBAC9ABA5FAAB026F">
    <w:name w:val="60B21812823C4A4FBAC9ABA5FAAB026F"/>
  </w:style>
  <w:style w:type="paragraph" w:customStyle="1" w:styleId="E31BBABE5E864A0BA9939AA38A63D58D">
    <w:name w:val="E31BBABE5E864A0BA9939AA38A63D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792</Words>
  <Characters>4990</Characters>
  <Application>Microsoft Office Word</Application>
  <DocSecurity>0</DocSecurity>
  <Lines>101</Lines>
  <Paragraphs>66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Organisational overview</vt:lpstr>
      <vt:lpstr>Departmental/Directorate overview</vt:lpstr>
      <vt:lpstr>The role</vt:lpstr>
      <vt:lpstr>Scope and deliverables </vt:lpstr>
      <vt:lpstr>    Accountability</vt:lpstr>
      <vt:lpstr>    Deliverables</vt:lpstr>
      <vt:lpstr>    Relationships and autonomy</vt:lpstr>
      <vt:lpstr>Role requirements</vt:lpstr>
      <vt:lpstr>    Experience and technical skills</vt:lpstr>
      <vt:lpstr>    Personal attributes</vt:lpstr>
      <vt:lpstr>    Differentiators</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Curphey, Tom</dc:creator>
  <cp:keywords/>
  <dc:description/>
  <cp:lastModifiedBy>Marc Lippiett</cp:lastModifiedBy>
  <cp:revision>7</cp:revision>
  <cp:lastPrinted>2019-02-26T10:03:00Z</cp:lastPrinted>
  <dcterms:created xsi:type="dcterms:W3CDTF">2026-04-28T10:21:00Z</dcterms:created>
  <dcterms:modified xsi:type="dcterms:W3CDTF">2026-04-28T10:25:00Z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ies>
</file>