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End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8"/>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8BF4F2"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9" o:title=""/>
                    </v:shape>
                    <w10:wrap anchorx="page" anchory="page"/>
                    <w10:anchorlock/>
                  </v:group>
                </w:pict>
              </mc:Fallback>
            </mc:AlternateContent>
          </w:r>
        </w:p>
      </w:sdtContent>
    </w:sdt>
    <w:tbl>
      <w:tblPr>
        <w:tblpPr w:rightFromText="4139" w:bottomFromText="567" w:vertAnchor="page" w:horzAnchor="page" w:tblpX="681" w:tblpY="681"/>
        <w:tblW w:w="9214" w:type="dxa"/>
        <w:tblLayout w:type="fixed"/>
        <w:tblCellMar>
          <w:left w:w="0" w:type="dxa"/>
          <w:right w:w="0" w:type="dxa"/>
        </w:tblCellMar>
        <w:tblLook w:val="04A0" w:firstRow="1" w:lastRow="0" w:firstColumn="1" w:lastColumn="0" w:noHBand="0" w:noVBand="1"/>
      </w:tblPr>
      <w:tblGrid>
        <w:gridCol w:w="9214"/>
      </w:tblGrid>
      <w:tr w:rsidR="009A754B" w14:paraId="1C15A18C" w14:textId="77777777" w:rsidTr="00B050BF">
        <w:trPr>
          <w:cantSplit/>
          <w:trHeight w:val="23"/>
        </w:trPr>
        <w:tc>
          <w:tcPr>
            <w:tcW w:w="9214" w:type="dxa"/>
            <w:vAlign w:val="bottom"/>
          </w:tcPr>
          <w:p w14:paraId="1E7C27F5" w14:textId="24E03CD8" w:rsidR="009A754B" w:rsidRDefault="009A754B" w:rsidP="009A754B">
            <w:pPr>
              <w:pStyle w:val="CoverJobTitle"/>
            </w:pPr>
            <w:r>
              <w:t>Senior Service Quality Manager</w:t>
            </w:r>
          </w:p>
        </w:tc>
      </w:tr>
      <w:tr w:rsidR="009A754B" w:rsidRPr="009A754B" w14:paraId="1A3051D9" w14:textId="77777777" w:rsidTr="00B050BF">
        <w:trPr>
          <w:cantSplit/>
          <w:trHeight w:val="20"/>
        </w:trPr>
        <w:tc>
          <w:tcPr>
            <w:tcW w:w="9214" w:type="dxa"/>
            <w:vAlign w:val="bottom"/>
          </w:tcPr>
          <w:p w14:paraId="12E6C626" w14:textId="77777777" w:rsidR="009A754B" w:rsidRPr="009A754B" w:rsidRDefault="009A754B" w:rsidP="009A754B">
            <w:pPr>
              <w:pStyle w:val="CoverDepartment"/>
              <w:rPr>
                <w:rFonts w:asciiTheme="majorHAnsi" w:hAnsiTheme="majorHAnsi"/>
                <w:color w:val="28465F"/>
                <w:sz w:val="36"/>
              </w:rPr>
            </w:pPr>
          </w:p>
          <w:p w14:paraId="2D040B27" w14:textId="77777777" w:rsidR="009A754B" w:rsidRPr="009A754B" w:rsidRDefault="009A754B" w:rsidP="009A754B">
            <w:pPr>
              <w:pStyle w:val="CoverDepartment"/>
              <w:rPr>
                <w:rFonts w:asciiTheme="majorHAnsi" w:hAnsiTheme="majorHAnsi"/>
                <w:color w:val="28465F"/>
                <w:sz w:val="36"/>
              </w:rPr>
            </w:pPr>
          </w:p>
          <w:p w14:paraId="28C88F06" w14:textId="77777777" w:rsidR="009A754B" w:rsidRPr="009A754B" w:rsidRDefault="009A754B" w:rsidP="009A754B">
            <w:pPr>
              <w:pStyle w:val="CoverDepartment"/>
              <w:rPr>
                <w:rFonts w:asciiTheme="majorHAnsi" w:hAnsiTheme="majorHAnsi"/>
                <w:color w:val="28465F"/>
                <w:sz w:val="36"/>
              </w:rPr>
            </w:pPr>
          </w:p>
          <w:p w14:paraId="0741786D" w14:textId="77777777" w:rsidR="009A754B" w:rsidRDefault="009A754B">
            <w:pPr>
              <w:pStyle w:val="CoverDepartment"/>
              <w:rPr>
                <w:color w:val="FFFFFF"/>
                <w:kern w:val="2"/>
                <w:szCs w:val="32"/>
                <w:lang w:eastAsia="en-GB"/>
                <w14:ligatures w14:val="standardContextual"/>
              </w:rPr>
            </w:pPr>
            <w:r>
              <w:rPr>
                <w:color w:val="28465F"/>
                <w:sz w:val="36"/>
                <w:szCs w:val="36"/>
              </w:rPr>
              <w:t>SAPE (Scheme Administration &amp; Process Execution)</w:t>
            </w:r>
          </w:p>
          <w:p w14:paraId="04E32C8A" w14:textId="1457CC33" w:rsidR="009A754B" w:rsidRPr="009A754B" w:rsidRDefault="009A754B" w:rsidP="009A754B">
            <w:pPr>
              <w:pStyle w:val="CoverDepartment"/>
              <w:rPr>
                <w:rFonts w:asciiTheme="majorHAnsi" w:hAnsiTheme="majorHAnsi"/>
                <w:color w:val="28465F"/>
                <w:sz w:val="36"/>
              </w:rPr>
            </w:pPr>
          </w:p>
        </w:tc>
      </w:tr>
      <w:tr w:rsidR="009A754B" w:rsidRPr="009A754B" w14:paraId="5D1F4786" w14:textId="77777777" w:rsidTr="00B050BF">
        <w:trPr>
          <w:cantSplit/>
          <w:trHeight w:val="20"/>
        </w:trPr>
        <w:tc>
          <w:tcPr>
            <w:tcW w:w="9214" w:type="dxa"/>
          </w:tcPr>
          <w:p w14:paraId="4AC0AFA6" w14:textId="34FD74EB" w:rsidR="009A754B" w:rsidRPr="009A754B" w:rsidRDefault="009A754B" w:rsidP="009A754B">
            <w:pPr>
              <w:pStyle w:val="CoverDirectorate"/>
              <w:rPr>
                <w:rFonts w:asciiTheme="majorHAnsi" w:hAnsiTheme="majorHAnsi"/>
                <w:color w:val="28465F"/>
                <w:sz w:val="28"/>
                <w:szCs w:val="16"/>
              </w:rPr>
            </w:pPr>
            <w:r>
              <w:rPr>
                <w:rFonts w:asciiTheme="majorHAnsi" w:hAnsiTheme="majorHAnsi"/>
                <w:color w:val="28465F"/>
                <w:sz w:val="28"/>
                <w:szCs w:val="16"/>
              </w:rPr>
              <w:t xml:space="preserve">Directorate: </w:t>
            </w:r>
            <w:r w:rsidRPr="009A754B">
              <w:rPr>
                <w:rFonts w:asciiTheme="majorHAnsi" w:hAnsiTheme="majorHAnsi"/>
                <w:color w:val="28465F"/>
                <w:sz w:val="28"/>
                <w:szCs w:val="16"/>
              </w:rPr>
              <w:t>Services and Solutions</w:t>
            </w:r>
          </w:p>
        </w:tc>
      </w:tr>
      <w:tr w:rsidR="009A754B" w:rsidRPr="009A754B" w14:paraId="08566A21" w14:textId="77777777" w:rsidTr="00B050BF">
        <w:trPr>
          <w:cantSplit/>
          <w:trHeight w:val="20"/>
        </w:trPr>
        <w:tc>
          <w:tcPr>
            <w:tcW w:w="9214" w:type="dxa"/>
          </w:tcPr>
          <w:p w14:paraId="1407BFD1" w14:textId="7729CE53" w:rsidR="009A754B" w:rsidRPr="009A754B" w:rsidRDefault="009A754B" w:rsidP="009A754B">
            <w:pPr>
              <w:pStyle w:val="CoverGrade"/>
              <w:spacing w:before="0"/>
              <w:rPr>
                <w:rFonts w:asciiTheme="majorHAnsi" w:hAnsiTheme="majorHAnsi"/>
                <w:b/>
                <w:color w:val="28465F"/>
                <w:sz w:val="28"/>
                <w:szCs w:val="16"/>
              </w:rPr>
            </w:pPr>
            <w:r w:rsidRPr="009A754B">
              <w:rPr>
                <w:rFonts w:asciiTheme="majorHAnsi" w:hAnsiTheme="majorHAnsi"/>
                <w:b/>
                <w:color w:val="28465F"/>
                <w:sz w:val="28"/>
                <w:szCs w:val="16"/>
              </w:rPr>
              <w:t>Grade: 2M</w:t>
            </w:r>
          </w:p>
        </w:tc>
      </w:tr>
    </w:tbl>
    <w:p w14:paraId="7632261D" w14:textId="77777777" w:rsidR="000C6725" w:rsidRDefault="000C6725" w:rsidP="00B050BF">
      <w:pPr>
        <w:pStyle w:val="Heading1"/>
        <w:numPr>
          <w:ilvl w:val="0"/>
          <w:numId w:val="0"/>
        </w:numPr>
        <w:spacing w:before="0" w:after="0" w:line="240" w:lineRule="auto"/>
      </w:pPr>
      <w:r w:rsidRPr="009A754B">
        <w:t>Organisa</w:t>
      </w:r>
      <w:r>
        <w:t>tional overview</w:t>
      </w:r>
    </w:p>
    <w:p w14:paraId="6DE72305" w14:textId="3BDEBCE2" w:rsidR="00BF6FDF" w:rsidRPr="00BF6FDF" w:rsidRDefault="00BF6FDF" w:rsidP="00BF6FDF">
      <w:r w:rsidRPr="00BF6FDF">
        <w:t>Nest is a public service success story, established in 2010 to support the government’s automatic enrolment programme. With a public service obligation (PSO), Nest accepts any employer wishing to meet their automatic enrolment duties. Today, Nest supports over 14 million members and plays a critical role in helping people – particularly low to moderate earners – save for retirement.</w:t>
      </w:r>
    </w:p>
    <w:p w14:paraId="5737682F" w14:textId="77777777" w:rsidR="00BF6FDF" w:rsidRPr="00BF6FDF" w:rsidRDefault="00BF6FDF" w:rsidP="00BF6FDF">
      <w:r w:rsidRPr="00BF6FDF">
        <w:t>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w:t>
      </w:r>
    </w:p>
    <w:p w14:paraId="33B4555A" w14:textId="7448E4AD" w:rsidR="000C6725" w:rsidRDefault="00BF6FDF" w:rsidP="000C6725">
      <w:r w:rsidRPr="00BF6FDF">
        <w:t>To best serve our diverse customer base, it’s important that Nest has an equally diverse workforce and promotes an inclusive culture. This is in line with the organisation’s values and ensures that Nest is a corporation fit for the future.</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7611979" w14:textId="77777777" w:rsidR="00B861CE" w:rsidRPr="00F6480F" w:rsidRDefault="00B861CE" w:rsidP="00B861CE">
            <w:r w:rsidRPr="00F6480F">
              <w:t>The Services and Solutions (SaS) directorate brings together Nest’s operational delivery, technology, data, and change capabilities to deliver resilient, member</w:t>
            </w:r>
            <w:r w:rsidRPr="00F6480F">
              <w:noBreakHyphen/>
              <w:t>focused services at scale. SaS has accountability for the end</w:t>
            </w:r>
            <w:r w:rsidRPr="00F6480F">
              <w:noBreakHyphen/>
              <w:t>to</w:t>
            </w:r>
            <w:r w:rsidRPr="00F6480F">
              <w:noBreakHyphen/>
              <w:t>end running of Nest’s services, including oversight of customers and scheme operations delivered with strategic partners, along with the design and delivery of change that supports Nest’s long</w:t>
            </w:r>
            <w:r w:rsidRPr="00F6480F">
              <w:noBreakHyphen/>
              <w:t>term strategy.</w:t>
            </w:r>
          </w:p>
          <w:p w14:paraId="0EFB394D" w14:textId="731B0674" w:rsidR="00B861CE" w:rsidRDefault="00B861CE" w:rsidP="00B861CE">
            <w:r w:rsidRPr="00F6480F">
              <w:t>The directorate provides enterprise</w:t>
            </w:r>
            <w:r w:rsidRPr="00F6480F">
              <w:noBreakHyphen/>
              <w:t>wide leadership across operational delivery, technology and data, working closely with internal teams and external partners to strengthen resilience, assurance, and continuous improvement while ensuring services remain compliant, efficient, and focused on good member outcomes.</w:t>
            </w:r>
          </w:p>
          <w:p w14:paraId="56C52D37" w14:textId="41A8356E" w:rsidR="00C648C2" w:rsidRDefault="00B861CE">
            <w:r>
              <w:t xml:space="preserve">SAPE </w:t>
            </w:r>
            <w:r w:rsidR="000F1DB2">
              <w:t xml:space="preserve">(Scheme Administration and Process Execution) </w:t>
            </w:r>
            <w:r>
              <w:t>is one of two teams within Scheme Operations</w:t>
            </w:r>
            <w:r w:rsidR="00E12B2A">
              <w:t xml:space="preserve"> that sits within SaS</w:t>
            </w:r>
            <w:r>
              <w:t xml:space="preserve"> and is responsible for </w:t>
            </w:r>
            <w:r w:rsidR="00E12B2A">
              <w:t xml:space="preserve">managing </w:t>
            </w:r>
            <w:r>
              <w:t xml:space="preserve">key retained processes </w:t>
            </w:r>
            <w:r w:rsidR="008A660A">
              <w:t>(</w:t>
            </w:r>
            <w:r w:rsidR="008F7E74">
              <w:t xml:space="preserve">such as Stage 2 disputes) </w:t>
            </w:r>
            <w:r>
              <w:t xml:space="preserve">and for assuring the quality of service delivered by Nest’s third-party administrator. </w:t>
            </w:r>
          </w:p>
          <w:p w14:paraId="687926BD" w14:textId="71EAC645" w:rsidR="00B861CE" w:rsidRDefault="00B861CE">
            <w:r>
              <w:t xml:space="preserve">The team uses evidence from quality reviews, complaints, </w:t>
            </w:r>
            <w:r w:rsidR="008F7E74">
              <w:t xml:space="preserve">customer feedback, </w:t>
            </w:r>
            <w:r>
              <w:t xml:space="preserve">operational data and customer insight to identify risks, strengthen controls and improve customer outcomes across journeys and processes. </w:t>
            </w:r>
          </w:p>
          <w:p w14:paraId="70CC5B18" w14:textId="77777777" w:rsidR="00B861CE" w:rsidRDefault="00B861CE">
            <w:r>
              <w:lastRenderedPageBreak/>
              <w:t xml:space="preserve">This role leads the service quality function within SAPE, reporting to the Head of SAPE, and is responsible for setting the direction for service quality oversight, translating assurance insight into action, and driving improvement in the service delivered by TCS. </w:t>
            </w:r>
          </w:p>
          <w:p w14:paraId="7BC6DA74" w14:textId="475AF5C5" w:rsidR="00E21352" w:rsidRPr="009A754B" w:rsidRDefault="00B861CE" w:rsidP="006A0609">
            <w:pPr>
              <w:rPr>
                <w:color w:val="3C3C3C"/>
                <w:kern w:val="2"/>
                <w:lang w:eastAsia="en-GB"/>
                <w14:ligatures w14:val="standardContextual"/>
              </w:rPr>
            </w:pPr>
            <w:r>
              <w:t>The role has line management responsibility for the Service Quality Manager role</w:t>
            </w:r>
            <w:r w:rsidR="009A754B">
              <w:t>(s)</w:t>
            </w:r>
            <w:r>
              <w:t xml:space="preserve"> and accountability for building a credible, effective customer service quality capability that supports third-party oversight, stronger governance and continuous improvement.</w:t>
            </w:r>
          </w:p>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2A3FB5FC" w14:textId="77777777" w:rsidTr="009D0B61">
        <w:trPr>
          <w:trHeight w:hRule="exact" w:val="20"/>
        </w:trPr>
        <w:tc>
          <w:tcPr>
            <w:tcW w:w="10546"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0A428AC" w14:textId="77777777" w:rsidR="00B861CE" w:rsidRDefault="00B861CE">
            <w:r>
              <w:t xml:space="preserve">The Senior Service Quality Manager is responsible for leading Nest’s approach to service quality assurance across outsourced operational delivery. </w:t>
            </w:r>
          </w:p>
          <w:p w14:paraId="1B788B93" w14:textId="77777777" w:rsidR="00B861CE" w:rsidRDefault="00B861CE">
            <w:r>
              <w:t xml:space="preserve">You will set the direction for quality oversight, own the service quality framework, and ensure assurance activity provides clear, evidence-based insight into service performance, control effectiveness and customer outcomes. </w:t>
            </w:r>
          </w:p>
          <w:p w14:paraId="693554B8" w14:textId="2AC9B31E" w:rsidR="004151AD" w:rsidRPr="009A754B" w:rsidRDefault="00B861CE" w:rsidP="009D0B61">
            <w:pPr>
              <w:rPr>
                <w:color w:val="3C3C3C"/>
                <w:kern w:val="2"/>
                <w:lang w:eastAsia="en-GB"/>
                <w14:ligatures w14:val="standardContextual"/>
              </w:rPr>
            </w:pPr>
            <w:r>
              <w:t>Working across SAPE, Service Delivery, Customer Experience, DACI and TCS, you will lead the service quality team, oversee quality reviews and thematic analysis, and translate findings into practical action that strengthens performance, third-party oversight and continuous improvement.</w:t>
            </w:r>
          </w:p>
        </w:tc>
      </w:tr>
    </w:tbl>
    <w:p w14:paraId="20CC63B6" w14:textId="77777777" w:rsidR="000C6725" w:rsidRDefault="000C6725" w:rsidP="000C6725">
      <w:pPr>
        <w:pStyle w:val="Heading1"/>
        <w:numPr>
          <w:ilvl w:val="0"/>
          <w:numId w:val="0"/>
        </w:numPr>
      </w:pPr>
      <w:r>
        <w:lastRenderedPageBreak/>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7888279" w14:textId="77777777" w:rsidR="00A23F3D" w:rsidRPr="00A23F3D" w:rsidRDefault="00A23F3D" w:rsidP="00A23F3D">
            <w:pPr>
              <w:pStyle w:val="ListParagraph"/>
              <w:numPr>
                <w:ilvl w:val="0"/>
                <w:numId w:val="28"/>
              </w:numPr>
              <w:spacing w:before="0" w:after="240"/>
              <w:ind w:left="357" w:hanging="357"/>
              <w:contextualSpacing w:val="0"/>
              <w:rPr>
                <w:color w:val="3C3C3C"/>
                <w:kern w:val="2"/>
                <w:lang w:eastAsia="en-GB"/>
                <w14:ligatures w14:val="standardContextual"/>
              </w:rPr>
            </w:pPr>
            <w:r w:rsidRPr="00A23F3D">
              <w:rPr>
                <w:color w:val="3C3C3C"/>
                <w:kern w:val="2"/>
                <w:lang w:eastAsia="en-GB"/>
                <w14:ligatures w14:val="standardContextual"/>
              </w:rPr>
              <w:t>Provide credible leadership and constructive challenge on service quality performance, standards and control effectiveness, using assurance evidence to influence decisions, strengthen third-party oversight and drive improvements in customer outcomes.</w:t>
            </w:r>
          </w:p>
          <w:p w14:paraId="3A207624" w14:textId="77777777" w:rsidR="00E666C3" w:rsidRPr="00E666C3" w:rsidRDefault="00E666C3" w:rsidP="00C32352">
            <w:pPr>
              <w:pStyle w:val="ListParagraph"/>
              <w:numPr>
                <w:ilvl w:val="0"/>
                <w:numId w:val="28"/>
              </w:numPr>
              <w:spacing w:before="0" w:after="240"/>
              <w:ind w:left="357" w:hanging="357"/>
              <w:contextualSpacing w:val="0"/>
              <w:rPr>
                <w:color w:val="3C3C3C"/>
                <w:kern w:val="2"/>
                <w:lang w:eastAsia="en-GB"/>
                <w14:ligatures w14:val="standardContextual"/>
              </w:rPr>
            </w:pPr>
            <w:r w:rsidRPr="00E666C3">
              <w:rPr>
                <w:color w:val="3C3C3C"/>
                <w:kern w:val="2"/>
                <w:lang w:eastAsia="en-GB"/>
                <w14:ligatures w14:val="standardContextual"/>
              </w:rPr>
              <w:t>Accountable for setting and maintaining a comprehensive service quality and control assurance framework, ensuring it provides clear, consistent and evidence-based oversight of customer outcomes, regulatory obligations and operational risk across outsourced service delivery.</w:t>
            </w:r>
          </w:p>
          <w:p w14:paraId="07ED28A1" w14:textId="77777777" w:rsidR="007B49D5" w:rsidRPr="007B49D5" w:rsidRDefault="007B49D5" w:rsidP="00C32352">
            <w:pPr>
              <w:pStyle w:val="ListParagraph"/>
              <w:numPr>
                <w:ilvl w:val="0"/>
                <w:numId w:val="28"/>
              </w:numPr>
              <w:spacing w:before="0" w:after="240"/>
              <w:ind w:left="357" w:hanging="357"/>
              <w:contextualSpacing w:val="0"/>
              <w:rPr>
                <w:color w:val="3C3C3C"/>
                <w:kern w:val="2"/>
                <w:lang w:eastAsia="en-GB"/>
                <w14:ligatures w14:val="standardContextual"/>
              </w:rPr>
            </w:pPr>
            <w:r w:rsidRPr="007B49D5">
              <w:rPr>
                <w:color w:val="3C3C3C"/>
                <w:kern w:val="2"/>
                <w:lang w:eastAsia="en-GB"/>
                <w14:ligatures w14:val="standardContextual"/>
              </w:rPr>
              <w:t>Owns the definition of what good looks like for service quality, including standards, tolerances, scorecards and control expectations for third-party delivery, working in close partnership with Customer Experience (CX) to ensure alignment to customer outcome frameworks, insight and regulatory requirements.</w:t>
            </w:r>
          </w:p>
          <w:p w14:paraId="791C4958" w14:textId="77777777" w:rsidR="00F0179A" w:rsidRPr="00F0179A" w:rsidRDefault="00F0179A" w:rsidP="00C32352">
            <w:pPr>
              <w:pStyle w:val="ListParagraph"/>
              <w:numPr>
                <w:ilvl w:val="0"/>
                <w:numId w:val="28"/>
              </w:numPr>
              <w:spacing w:before="0" w:after="240"/>
              <w:ind w:left="357" w:hanging="357"/>
              <w:contextualSpacing w:val="0"/>
              <w:rPr>
                <w:color w:val="3C3C3C"/>
                <w:kern w:val="2"/>
                <w:lang w:eastAsia="en-GB"/>
                <w14:ligatures w14:val="standardContextual"/>
              </w:rPr>
            </w:pPr>
            <w:r w:rsidRPr="00F0179A">
              <w:rPr>
                <w:color w:val="3C3C3C"/>
                <w:kern w:val="2"/>
                <w:lang w:eastAsia="en-GB"/>
                <w14:ligatures w14:val="standardContextual"/>
              </w:rPr>
              <w:t>Owns the end-to-end governance of service quality findings, including escalation of material risks, alignment with audit and risk functions, and ensuring readiness for internal and external audit scrutiny.</w:t>
            </w:r>
          </w:p>
          <w:p w14:paraId="0156930D" w14:textId="77777777" w:rsidR="00B861CE" w:rsidRPr="00B861CE" w:rsidRDefault="00B861CE" w:rsidP="00C32352">
            <w:pPr>
              <w:pStyle w:val="ListParagraph"/>
              <w:numPr>
                <w:ilvl w:val="0"/>
                <w:numId w:val="28"/>
              </w:numPr>
              <w:spacing w:before="0" w:after="240"/>
              <w:ind w:left="357" w:hanging="357"/>
              <w:contextualSpacing w:val="0"/>
              <w:rPr>
                <w:color w:val="3C3C3C"/>
                <w:kern w:val="2"/>
                <w:lang w:eastAsia="en-GB"/>
                <w14:ligatures w14:val="standardContextual"/>
              </w:rPr>
            </w:pPr>
            <w:r>
              <w:t>The role is accountable for the quality, consistency and effectiveness of Nest’s service quality assurance approach, including review plans, methodology, standards, outputs and supporting governance.</w:t>
            </w:r>
          </w:p>
          <w:p w14:paraId="2195EE3B" w14:textId="48239A78" w:rsidR="00665D3B" w:rsidRPr="00665D3B" w:rsidRDefault="00665D3B" w:rsidP="00C32352">
            <w:pPr>
              <w:pStyle w:val="ListParagraph"/>
              <w:numPr>
                <w:ilvl w:val="0"/>
                <w:numId w:val="28"/>
              </w:numPr>
              <w:spacing w:before="0" w:after="240"/>
              <w:ind w:left="357" w:hanging="357"/>
              <w:contextualSpacing w:val="0"/>
            </w:pPr>
            <w:r w:rsidRPr="00665D3B">
              <w:t xml:space="preserve">Accountable for the </w:t>
            </w:r>
            <w:r w:rsidRPr="007F3427">
              <w:t xml:space="preserve">prioritisation and delivery of risk-based </w:t>
            </w:r>
            <w:r w:rsidRPr="007F3427">
              <w:t xml:space="preserve">service quality </w:t>
            </w:r>
            <w:r w:rsidRPr="007F3427">
              <w:t>assurance activity,</w:t>
            </w:r>
            <w:r w:rsidRPr="00665D3B">
              <w:t xml:space="preserve"> ensuring that assurance coverage focuses on areas of highest customer, regulatory and operational risk, including emerging or forward-looking risks.</w:t>
            </w:r>
          </w:p>
          <w:p w14:paraId="4025AC30" w14:textId="77777777" w:rsidR="005522B4" w:rsidRDefault="009B55E2" w:rsidP="00693C4D">
            <w:pPr>
              <w:pStyle w:val="ListParagraph"/>
              <w:numPr>
                <w:ilvl w:val="0"/>
                <w:numId w:val="28"/>
              </w:numPr>
              <w:spacing w:before="0" w:after="240"/>
              <w:ind w:left="357" w:hanging="357"/>
              <w:contextualSpacing w:val="0"/>
            </w:pPr>
            <w:r w:rsidRPr="009B55E2">
              <w:t>Accountable for ensuring closed-loop improvement, where assurance findings are translated into clear actions, implemented effectively, and validated to demonstrate sustained improvements and reduced risk.</w:t>
            </w:r>
          </w:p>
          <w:p w14:paraId="65A7EC5F" w14:textId="4049C6B6" w:rsidR="00D216DF" w:rsidRPr="00D216DF" w:rsidRDefault="00D216DF" w:rsidP="00D216DF">
            <w:pPr>
              <w:pStyle w:val="ListParagraph"/>
              <w:numPr>
                <w:ilvl w:val="0"/>
                <w:numId w:val="28"/>
              </w:numPr>
              <w:spacing w:before="0" w:after="240"/>
              <w:ind w:left="357" w:hanging="357"/>
              <w:contextualSpacing w:val="0"/>
              <w:rPr>
                <w:color w:val="3C3C3C"/>
                <w:kern w:val="2"/>
                <w:lang w:eastAsia="en-GB"/>
                <w14:ligatures w14:val="standardContextual"/>
              </w:rPr>
            </w:pPr>
            <w:r>
              <w:t>This role has direct line management responsibility for Service Quality Manager</w:t>
            </w:r>
            <w:r>
              <w:t xml:space="preserve">(s) </w:t>
            </w:r>
            <w:r>
              <w:t>and is accountable for setting objectives, overseeing delivery and building capability within the service quality function.</w:t>
            </w:r>
          </w:p>
        </w:tc>
      </w:tr>
    </w:tbl>
    <w:p w14:paraId="57EA9120"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EDA9376" w14:textId="77777777" w:rsidR="00F33FE5" w:rsidRDefault="00B861CE" w:rsidP="00F33FE5">
            <w:pPr>
              <w:pStyle w:val="ListParagraph"/>
              <w:numPr>
                <w:ilvl w:val="0"/>
                <w:numId w:val="28"/>
              </w:numPr>
              <w:spacing w:before="0" w:after="120"/>
              <w:ind w:left="357" w:hanging="357"/>
              <w:contextualSpacing w:val="0"/>
            </w:pPr>
            <w:r>
              <w:t>Lead the planning and execution of regular service quality assurance activity across agreed journeys, processes and service areas, ensuring reviews are risk-based, proportionate and aligned to Nest’s priorities.</w:t>
            </w:r>
            <w:r w:rsidR="00F33FE5">
              <w:t xml:space="preserve"> </w:t>
            </w:r>
          </w:p>
          <w:p w14:paraId="337D8BA5" w14:textId="130BA862" w:rsidR="00F3166D" w:rsidRDefault="00F3166D" w:rsidP="00F3166D">
            <w:pPr>
              <w:pStyle w:val="ListParagraph"/>
              <w:numPr>
                <w:ilvl w:val="0"/>
                <w:numId w:val="28"/>
              </w:numPr>
              <w:spacing w:before="0" w:after="120"/>
              <w:ind w:left="357" w:hanging="357"/>
              <w:contextualSpacing w:val="0"/>
            </w:pPr>
            <w:r w:rsidRPr="00F3166D">
              <w:t>Lead service quality assurance activity for material service changes and releases, including defining and delivering pre-release assurance (to validate readiness, controls and customer outcomes) and post-release assurance (to assess early-life performance, customer impact and control effectiveness), ensuring risks are identified and addressed at pace</w:t>
            </w:r>
          </w:p>
          <w:p w14:paraId="4DA8EF0A" w14:textId="77777777" w:rsidR="00F2750E" w:rsidRDefault="00F33FE5" w:rsidP="00F2750E">
            <w:pPr>
              <w:pStyle w:val="ListParagraph"/>
              <w:numPr>
                <w:ilvl w:val="0"/>
                <w:numId w:val="28"/>
              </w:numPr>
              <w:spacing w:before="0" w:after="120"/>
              <w:ind w:left="357" w:hanging="357"/>
              <w:contextualSpacing w:val="0"/>
            </w:pPr>
            <w:r>
              <w:t>Oversee the production of clear, evidence-based findings, thematic analysis and management information that highlight risks, trends, root causes and opportunities for improvement.</w:t>
            </w:r>
            <w:r w:rsidR="00F2750E">
              <w:t xml:space="preserve"> </w:t>
            </w:r>
          </w:p>
          <w:p w14:paraId="5AD7FA50" w14:textId="7CA7D525" w:rsidR="00F2750E" w:rsidRDefault="00F2750E" w:rsidP="00F2750E">
            <w:pPr>
              <w:pStyle w:val="ListParagraph"/>
              <w:numPr>
                <w:ilvl w:val="0"/>
                <w:numId w:val="28"/>
              </w:numPr>
              <w:spacing w:before="0" w:after="120"/>
              <w:ind w:left="357" w:hanging="357"/>
              <w:contextualSpacing w:val="0"/>
            </w:pPr>
            <w:r>
              <w:t>Translate quality assurance and insight into practical recommendations and improvement actions, working with internal stakeholders and TCS to support prioritisation, follow-through and measurable change.</w:t>
            </w:r>
          </w:p>
          <w:p w14:paraId="0ABB2606" w14:textId="77777777" w:rsidR="00E8293D" w:rsidRPr="002D108A" w:rsidRDefault="00E8293D" w:rsidP="00E8293D">
            <w:pPr>
              <w:pStyle w:val="ListParagraph"/>
              <w:numPr>
                <w:ilvl w:val="0"/>
                <w:numId w:val="28"/>
              </w:numPr>
              <w:spacing w:before="0" w:after="120"/>
              <w:ind w:left="357" w:hanging="357"/>
              <w:contextualSpacing w:val="0"/>
            </w:pPr>
            <w:r>
              <w:t>Provide oversight of the end-to-end action tracking process for service quality findings, ensuring progress is visible and that changes are tested for effectiveness.</w:t>
            </w:r>
          </w:p>
          <w:p w14:paraId="6FEF7CF0" w14:textId="27657D0E" w:rsidR="002D108A" w:rsidRPr="002D108A" w:rsidRDefault="002D108A" w:rsidP="00030133">
            <w:pPr>
              <w:pStyle w:val="ListParagraph"/>
              <w:numPr>
                <w:ilvl w:val="0"/>
                <w:numId w:val="28"/>
              </w:numPr>
              <w:spacing w:before="0" w:after="120"/>
              <w:ind w:left="357" w:hanging="357"/>
              <w:contextualSpacing w:val="0"/>
            </w:pPr>
            <w:r w:rsidRPr="002D108A">
              <w:t xml:space="preserve">Provide robust governance reporting and commentary for senior stakeholders, </w:t>
            </w:r>
            <w:r w:rsidR="00030133" w:rsidRPr="00030133">
              <w:t>presenting a joined-up view of service quality that reflects both assurance findings and customer insight, with clear articulation of risks, customer impact and progress.</w:t>
            </w:r>
          </w:p>
          <w:p w14:paraId="3A0CF7D3" w14:textId="26CA6119" w:rsidR="00B861CE" w:rsidRPr="00030133" w:rsidRDefault="00B861CE" w:rsidP="00C32352">
            <w:pPr>
              <w:pStyle w:val="ListParagraph"/>
              <w:numPr>
                <w:ilvl w:val="0"/>
                <w:numId w:val="28"/>
              </w:numPr>
              <w:spacing w:before="0" w:after="120"/>
              <w:ind w:left="357" w:hanging="357"/>
              <w:contextualSpacing w:val="0"/>
            </w:pPr>
            <w:r>
              <w:t>Own and continually refine service quality frameworks</w:t>
            </w:r>
            <w:r w:rsidR="00B44E13">
              <w:t xml:space="preserve"> </w:t>
            </w:r>
            <w:r w:rsidR="00B04B5D">
              <w:t>(</w:t>
            </w:r>
            <w:r w:rsidR="00B44E13">
              <w:t>in close collaboration with Nest stakeholders</w:t>
            </w:r>
            <w:r w:rsidR="00B04B5D">
              <w:t>)</w:t>
            </w:r>
            <w:r>
              <w:t>, standards, scorecards and review methods so that assurance activity remains consistent, credible and focused on customer outcomes.</w:t>
            </w:r>
          </w:p>
          <w:p w14:paraId="02C2A453" w14:textId="77777777" w:rsidR="00FC5BCF" w:rsidRPr="00FC5BCF" w:rsidRDefault="00FC5BCF" w:rsidP="00FC5BCF">
            <w:pPr>
              <w:pStyle w:val="ListParagraph"/>
              <w:numPr>
                <w:ilvl w:val="0"/>
                <w:numId w:val="28"/>
              </w:numPr>
              <w:spacing w:before="0" w:after="120"/>
              <w:ind w:left="357" w:hanging="357"/>
              <w:contextualSpacing w:val="0"/>
            </w:pPr>
            <w:r w:rsidRPr="00FC5BCF">
              <w:t>Ensure data integrity and consistency across service quality insight, working with stakeholders to align metrics, definitions and reporting across assurance, complaints, operational performance and customer experience.</w:t>
            </w:r>
          </w:p>
          <w:p w14:paraId="3C336CCC" w14:textId="77777777" w:rsidR="00E870E8" w:rsidRDefault="00B861CE" w:rsidP="00E870E8">
            <w:pPr>
              <w:pStyle w:val="ListParagraph"/>
              <w:numPr>
                <w:ilvl w:val="0"/>
                <w:numId w:val="28"/>
              </w:numPr>
              <w:spacing w:before="0" w:after="120"/>
              <w:ind w:left="357" w:hanging="357"/>
              <w:contextualSpacing w:val="0"/>
            </w:pPr>
            <w:r>
              <w:t>Contribute to broader control, customer outcome and service improvement activity by ensuring service quality assurance is connected to operational insight, complaints, risk themes and partner oversight.</w:t>
            </w:r>
            <w:r w:rsidR="00E870E8">
              <w:t xml:space="preserve"> </w:t>
            </w:r>
          </w:p>
          <w:p w14:paraId="19CB8699" w14:textId="7698E4FA" w:rsidR="005522B4" w:rsidRPr="003848BA" w:rsidRDefault="00E870E8" w:rsidP="003848BA">
            <w:pPr>
              <w:pStyle w:val="ListParagraph"/>
              <w:numPr>
                <w:ilvl w:val="0"/>
                <w:numId w:val="28"/>
              </w:numPr>
              <w:spacing w:before="0" w:after="120"/>
              <w:ind w:left="357" w:hanging="357"/>
              <w:contextualSpacing w:val="0"/>
            </w:pPr>
            <w:r>
              <w:t>Lead, coach and develop the Service Quality Manager(s), setting clear objectives and creating a culture of quality, curiosity, accountability and continuous improvement.</w:t>
            </w:r>
          </w:p>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A2029B2" w14:textId="38F04EF2" w:rsidR="00B861CE" w:rsidRDefault="00B861CE" w:rsidP="00B861CE">
            <w:pPr>
              <w:pStyle w:val="ListParagraph"/>
              <w:numPr>
                <w:ilvl w:val="0"/>
                <w:numId w:val="30"/>
              </w:numPr>
            </w:pPr>
            <w:r>
              <w:t xml:space="preserve">The role works closely with the Head of </w:t>
            </w:r>
            <w:r w:rsidR="009A754B">
              <w:t>SAPE</w:t>
            </w:r>
            <w:r>
              <w:t xml:space="preserve"> and senior colleagues across Scheme Operations, Service Delivery, DACI and risk-focused teams. </w:t>
            </w:r>
          </w:p>
          <w:p w14:paraId="5A579816" w14:textId="77777777" w:rsidR="00B861CE" w:rsidRDefault="00B861CE" w:rsidP="00B861CE">
            <w:pPr>
              <w:pStyle w:val="ListParagraph"/>
              <w:numPr>
                <w:ilvl w:val="0"/>
                <w:numId w:val="30"/>
              </w:numPr>
            </w:pPr>
            <w:r>
              <w:t xml:space="preserve">It will engage directly with managers and senior stakeholders within TCS to review evidence, challenge performance and support action on identified service quality issues. </w:t>
            </w:r>
          </w:p>
          <w:p w14:paraId="6257C918" w14:textId="77777777" w:rsidR="00B861CE" w:rsidRDefault="00B861CE" w:rsidP="00B861CE">
            <w:pPr>
              <w:pStyle w:val="ListParagraph"/>
              <w:numPr>
                <w:ilvl w:val="0"/>
                <w:numId w:val="30"/>
              </w:numPr>
            </w:pPr>
            <w:r>
              <w:t xml:space="preserve">The role will influence at senior manager and head-of level, using evidence, judgement and clear recommendations to shape decisions on service quality, oversight and improvement priorities. </w:t>
            </w:r>
          </w:p>
          <w:p w14:paraId="58F0A8D7" w14:textId="4F2428CC" w:rsidR="005522B4" w:rsidRPr="009A754B" w:rsidRDefault="00B861CE" w:rsidP="00537052">
            <w:pPr>
              <w:pStyle w:val="ListParagraph"/>
              <w:numPr>
                <w:ilvl w:val="0"/>
                <w:numId w:val="30"/>
              </w:numPr>
              <w:rPr>
                <w:color w:val="3C3C3C"/>
                <w:kern w:val="2"/>
                <w:lang w:eastAsia="en-GB"/>
                <w14:ligatures w14:val="standardContextual"/>
              </w:rPr>
            </w:pPr>
            <w:r>
              <w:t>It operates with a high level of autonomy within agreed objectives, escalating material risks, significant findings or issues requiring strategic intervention where appropriate.</w:t>
            </w:r>
          </w:p>
        </w:tc>
      </w:tr>
    </w:tbl>
    <w:p w14:paraId="0670AF4D" w14:textId="77777777" w:rsidR="000C6725" w:rsidRPr="005412BB" w:rsidRDefault="000C6725" w:rsidP="000C6725">
      <w:pPr>
        <w:pStyle w:val="Heading1"/>
        <w:numPr>
          <w:ilvl w:val="0"/>
          <w:numId w:val="0"/>
        </w:numPr>
      </w:pPr>
      <w:r w:rsidRPr="005412BB">
        <w:lastRenderedPageBreak/>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AFDA71C" w14:textId="77777777" w:rsidR="00B861CE" w:rsidRPr="00B861CE" w:rsidRDefault="00B861CE" w:rsidP="00B861CE">
            <w:pPr>
              <w:pStyle w:val="ListParagraph"/>
              <w:numPr>
                <w:ilvl w:val="0"/>
                <w:numId w:val="30"/>
              </w:numPr>
              <w:rPr>
                <w:color w:val="3C3C3C"/>
                <w:kern w:val="2"/>
                <w:lang w:eastAsia="en-GB"/>
                <w14:ligatures w14:val="standardContextual"/>
              </w:rPr>
            </w:pPr>
            <w:r>
              <w:t>Significant experience leading quality assurance, audit, control testing or service review activity in a complex service environment.</w:t>
            </w:r>
          </w:p>
          <w:p w14:paraId="6B657D0D" w14:textId="77777777" w:rsidR="00B861CE" w:rsidRPr="00B861CE" w:rsidRDefault="00B861CE" w:rsidP="00B861CE">
            <w:pPr>
              <w:pStyle w:val="ListParagraph"/>
              <w:numPr>
                <w:ilvl w:val="0"/>
                <w:numId w:val="30"/>
              </w:numPr>
              <w:rPr>
                <w:color w:val="3C3C3C"/>
                <w:kern w:val="2"/>
                <w:lang w:eastAsia="en-GB"/>
                <w14:ligatures w14:val="standardContextual"/>
              </w:rPr>
            </w:pPr>
            <w:r>
              <w:t>Experience designing or evolving quality frameworks, scorecards, review methodologies or assurance approaches that support consistent and credible oversight.</w:t>
            </w:r>
          </w:p>
          <w:p w14:paraId="59B7B68C" w14:textId="77777777" w:rsidR="00B861CE" w:rsidRPr="00B861CE" w:rsidRDefault="00B861CE" w:rsidP="00B861CE">
            <w:pPr>
              <w:pStyle w:val="ListParagraph"/>
              <w:numPr>
                <w:ilvl w:val="0"/>
                <w:numId w:val="30"/>
              </w:numPr>
              <w:rPr>
                <w:color w:val="3C3C3C"/>
                <w:kern w:val="2"/>
                <w:lang w:eastAsia="en-GB"/>
                <w14:ligatures w14:val="standardContextual"/>
              </w:rPr>
            </w:pPr>
            <w:r>
              <w:t>Strong analytical capability, with the ability to interpret multiple sources of quality, operational and customer insight, identify patterns and root causes, and form balanced, evidence-based conclusions.</w:t>
            </w:r>
          </w:p>
          <w:p w14:paraId="31EE25D9" w14:textId="77777777" w:rsidR="00B861CE" w:rsidRPr="00B861CE" w:rsidRDefault="00B861CE" w:rsidP="00B861CE">
            <w:pPr>
              <w:pStyle w:val="ListParagraph"/>
              <w:numPr>
                <w:ilvl w:val="0"/>
                <w:numId w:val="30"/>
              </w:numPr>
              <w:rPr>
                <w:color w:val="3C3C3C"/>
                <w:kern w:val="2"/>
                <w:lang w:eastAsia="en-GB"/>
                <w14:ligatures w14:val="standardContextual"/>
              </w:rPr>
            </w:pPr>
            <w:r>
              <w:t>Experience producing clear reporting and commentary for senior stakeholders, including translating detailed findings into practical implications and recommendations.</w:t>
            </w:r>
          </w:p>
          <w:p w14:paraId="06714D31" w14:textId="77777777" w:rsidR="00B861CE" w:rsidRPr="00B861CE" w:rsidRDefault="00B861CE" w:rsidP="00B861CE">
            <w:pPr>
              <w:pStyle w:val="ListParagraph"/>
              <w:numPr>
                <w:ilvl w:val="0"/>
                <w:numId w:val="30"/>
              </w:numPr>
              <w:rPr>
                <w:color w:val="3C3C3C"/>
                <w:kern w:val="2"/>
                <w:lang w:eastAsia="en-GB"/>
                <w14:ligatures w14:val="standardContextual"/>
              </w:rPr>
            </w:pPr>
            <w:r>
              <w:t>Experience working with operational leaders and third-party partners to address service risks, improve controls and strengthen customer outcomes.</w:t>
            </w:r>
          </w:p>
          <w:p w14:paraId="47B463E4" w14:textId="77777777" w:rsidR="00B861CE" w:rsidRPr="00B861CE" w:rsidRDefault="00B861CE" w:rsidP="00B861CE">
            <w:pPr>
              <w:pStyle w:val="ListParagraph"/>
              <w:numPr>
                <w:ilvl w:val="0"/>
                <w:numId w:val="30"/>
              </w:numPr>
              <w:rPr>
                <w:color w:val="3C3C3C"/>
                <w:kern w:val="2"/>
                <w:lang w:eastAsia="en-GB"/>
                <w14:ligatures w14:val="standardContextual"/>
              </w:rPr>
            </w:pPr>
            <w:r>
              <w:t>Experience leading or developing specialist assurance resource, including setting direction, managing performance and supporting capability growth.</w:t>
            </w:r>
          </w:p>
          <w:p w14:paraId="357CACF6" w14:textId="0D1F5F52" w:rsidR="001C1280" w:rsidRPr="009A754B" w:rsidRDefault="00B861CE" w:rsidP="00537052">
            <w:pPr>
              <w:pStyle w:val="ListParagraph"/>
              <w:numPr>
                <w:ilvl w:val="0"/>
                <w:numId w:val="30"/>
              </w:numPr>
              <w:rPr>
                <w:color w:val="3C3C3C"/>
                <w:kern w:val="2"/>
                <w:lang w:eastAsia="en-GB"/>
                <w14:ligatures w14:val="standardContextual"/>
              </w:rPr>
            </w:pPr>
            <w:r>
              <w:t>Experience in pensions, financial services, complaints handling or another regulated environment would be beneficial.</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A5A2E9" w14:textId="77777777" w:rsidR="00B861CE" w:rsidRPr="00B861CE" w:rsidRDefault="00B861CE" w:rsidP="00B861CE">
            <w:pPr>
              <w:pStyle w:val="ListParagraph"/>
              <w:numPr>
                <w:ilvl w:val="0"/>
                <w:numId w:val="30"/>
              </w:numPr>
              <w:rPr>
                <w:color w:val="3C3C3C"/>
                <w:kern w:val="2"/>
                <w:lang w:eastAsia="en-GB"/>
                <w14:ligatures w14:val="standardContextual"/>
              </w:rPr>
            </w:pPr>
            <w:r>
              <w:t>You will be a strong critical thinker with sound judgement, a disciplined approach to evidence and the confidence to make balanced decisions in complex situations.</w:t>
            </w:r>
          </w:p>
          <w:p w14:paraId="7A741A43" w14:textId="77777777" w:rsidR="00B861CE" w:rsidRPr="00B861CE" w:rsidRDefault="00B861CE" w:rsidP="00B861CE">
            <w:pPr>
              <w:pStyle w:val="ListParagraph"/>
              <w:numPr>
                <w:ilvl w:val="0"/>
                <w:numId w:val="30"/>
              </w:numPr>
              <w:rPr>
                <w:color w:val="3C3C3C"/>
                <w:kern w:val="2"/>
                <w:lang w:eastAsia="en-GB"/>
                <w14:ligatures w14:val="standardContextual"/>
              </w:rPr>
            </w:pPr>
            <w:r>
              <w:t>You will be able to influence credibly, challenge constructively and build effective relationships across internal teams and third-party partners.</w:t>
            </w:r>
          </w:p>
          <w:p w14:paraId="5D37846C" w14:textId="77777777" w:rsidR="00B861CE" w:rsidRPr="00B861CE" w:rsidRDefault="00B861CE" w:rsidP="00B861CE">
            <w:pPr>
              <w:pStyle w:val="ListParagraph"/>
              <w:numPr>
                <w:ilvl w:val="0"/>
                <w:numId w:val="30"/>
              </w:numPr>
              <w:rPr>
                <w:color w:val="3C3C3C"/>
                <w:kern w:val="2"/>
                <w:lang w:eastAsia="en-GB"/>
                <w14:ligatures w14:val="standardContextual"/>
              </w:rPr>
            </w:pPr>
            <w:r>
              <w:t>You will be organised, resilient and comfortable managing competing priorities while maintaining a clear focus on quality, risk and customer outcomes.</w:t>
            </w:r>
          </w:p>
          <w:p w14:paraId="7839A149" w14:textId="77777777" w:rsidR="00B861CE" w:rsidRPr="00B861CE" w:rsidRDefault="00B861CE" w:rsidP="00B861CE">
            <w:pPr>
              <w:pStyle w:val="ListParagraph"/>
              <w:numPr>
                <w:ilvl w:val="0"/>
                <w:numId w:val="30"/>
              </w:numPr>
              <w:rPr>
                <w:color w:val="3C3C3C"/>
                <w:kern w:val="2"/>
                <w:lang w:eastAsia="en-GB"/>
                <w14:ligatures w14:val="standardContextual"/>
              </w:rPr>
            </w:pPr>
            <w:r>
              <w:t>You will bring a continuous improvement mindset, strong personal accountability and a collaborative leadership style.</w:t>
            </w:r>
          </w:p>
          <w:p w14:paraId="076472AA" w14:textId="4A87D141" w:rsidR="001C1280" w:rsidRPr="009A754B" w:rsidRDefault="00B861CE" w:rsidP="00537052">
            <w:pPr>
              <w:pStyle w:val="ListParagraph"/>
              <w:numPr>
                <w:ilvl w:val="0"/>
                <w:numId w:val="30"/>
              </w:numPr>
              <w:rPr>
                <w:color w:val="3C3C3C"/>
                <w:kern w:val="2"/>
                <w:lang w:eastAsia="en-GB"/>
                <w14:ligatures w14:val="standardContextual"/>
              </w:rPr>
            </w:pPr>
            <w:r>
              <w:t>Relevant quality, audit or operational improvement qualifications would be beneficial but are not mandatory where equivalent practical experience can be demonstrated.</w:t>
            </w:r>
          </w:p>
        </w:tc>
      </w:tr>
    </w:tbl>
    <w:p w14:paraId="26730CEE"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C63BCEC" w14:textId="711D5509" w:rsidR="00B861CE" w:rsidRDefault="009A754B">
            <w:r>
              <w:t xml:space="preserve">The role has broader leadership responsibility, greater ownership of the overall framework and wider accountability for team direction and stakeholder leadership. </w:t>
            </w:r>
            <w:r w:rsidR="00B861CE">
              <w:t xml:space="preserve">This role is suited to someone who can combine strategic oversight with practical delivery, setting the direction for service quality assurance while remaining close enough to the detail to challenge effectively and drive action. </w:t>
            </w:r>
          </w:p>
          <w:p w14:paraId="18B216E9" w14:textId="77777777" w:rsidR="00B861CE" w:rsidRDefault="00B861CE">
            <w:r>
              <w:t xml:space="preserve">It offers the opportunity to shape how Nest assures outsourced service quality, strengthen third-party oversight maturity and influence improvements that matter to customer outcomes, operational resilience and governance. </w:t>
            </w:r>
          </w:p>
          <w:p w14:paraId="1A4DBF3B" w14:textId="77777777" w:rsidR="00B861CE" w:rsidRDefault="00B861CE">
            <w:r>
              <w:t xml:space="preserve">The role is designed for someone who is comfortable leading through evidence, building credibility across stakeholders and developing a high-performing assurance capability in an area of growing importance to the organisation. </w:t>
            </w:r>
          </w:p>
          <w:p w14:paraId="1F5B4A2C" w14:textId="43D2873A" w:rsidR="001C1280" w:rsidRPr="009A754B" w:rsidRDefault="00B861CE" w:rsidP="00537052">
            <w:pPr>
              <w:rPr>
                <w:color w:val="3C3C3C"/>
                <w:kern w:val="2"/>
                <w:lang w:eastAsia="en-GB"/>
                <w14:ligatures w14:val="standardContextual"/>
              </w:rPr>
            </w:pPr>
            <w:r>
              <w:t>This post is also expected to provide clear leadership, coaching and quality judgement across the function</w:t>
            </w:r>
            <w:r w:rsidR="009A754B">
              <w:t xml:space="preserve">. </w:t>
            </w:r>
          </w:p>
        </w:tc>
      </w:tr>
    </w:tbl>
    <w:p w14:paraId="0BEA7301" w14:textId="77777777" w:rsidR="00176A70" w:rsidRDefault="00176A70" w:rsidP="00176A70">
      <w:pPr>
        <w:pStyle w:val="Heading2"/>
        <w:numPr>
          <w:ilvl w:val="0"/>
          <w:numId w:val="0"/>
        </w:numPr>
      </w:pPr>
      <w:r w:rsidRPr="00176A70">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66D113BC" w:rsidR="00176A70" w:rsidRPr="00AE1D5D" w:rsidRDefault="00B861CE" w:rsidP="009D0B61">
            <w:pPr>
              <w:rPr>
                <w:color w:val="3C3C3C"/>
                <w:kern w:val="2"/>
                <w:lang w:eastAsia="en-GB"/>
                <w14:ligatures w14:val="standardContextual"/>
              </w:rPr>
            </w:pPr>
            <w:r>
              <w:t>We support flexible and hybrid working in line with business needs. The role is expected to work in a way that enables effective collaboration with colleagues across Nest and with third-party partners, with in-person attendance where needed for team activity, stakeholder engagement or business priorities.</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76A70"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30E95385" w:rsidR="00176A70" w:rsidRPr="00544E43" w:rsidRDefault="009A754B" w:rsidP="009D0B61">
            <w:pPr>
              <w:rPr>
                <w:color w:val="3C3C3C"/>
                <w:kern w:val="2"/>
                <w:lang w:eastAsia="en-GB"/>
                <w14:ligatures w14:val="standardContextual"/>
              </w:rPr>
            </w:pPr>
            <w:r>
              <w:t>2M</w:t>
            </w:r>
          </w:p>
        </w:tc>
      </w:tr>
    </w:tbl>
    <w:sdt>
      <w:sdtPr>
        <w:alias w:val="Locked Back Graphics"/>
        <w:tag w:val="Locked Back Graphics"/>
        <w:id w:val="-1298136027"/>
        <w:lock w:val="sdtLocked"/>
        <w:placeholder>
          <w:docPart w:val="E31BBABE5E864A0BA9939AA38A63D58D"/>
        </w:placeholder>
      </w:sdtPr>
      <w:sdtEnd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6373F0" w:rsidRDefault="00F2212E" w:rsidP="005C7B64">
                                      <w:pPr>
                                        <w:pStyle w:val="NoSpacing"/>
                                        <w:rPr>
                                          <w:rStyle w:val="Hyperlink"/>
                                          <w:color w:val="FFFFFF" w:themeColor="background1"/>
                                          <w:sz w:val="28"/>
                                          <w:u w:val="none"/>
                                          <w:lang w:val="it-IT"/>
                                        </w:rPr>
                                      </w:pPr>
                                      <w:hyperlink r:id="rId10" w:history="1">
                                        <w:r w:rsidRPr="00CD20EA">
                                          <w:rPr>
                                            <w:rStyle w:val="Hyperlink"/>
                                            <w:color w:val="FFFFFF" w:themeColor="background1"/>
                                            <w:sz w:val="28"/>
                                            <w:u w:val="none"/>
                                            <w:lang w:val="it-IT"/>
                                          </w:rPr>
                                          <w:t>nestpensions.org.uk</w:t>
                                        </w:r>
                                      </w:hyperlink>
                                    </w:p>
                                    <w:p w14:paraId="63492C82" w14:textId="77777777" w:rsidR="00CD20EA" w:rsidRPr="006373F0"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6373F0" w:rsidRDefault="00F2212E" w:rsidP="005C7B64">
                                <w:pPr>
                                  <w:pStyle w:val="NoSpacing"/>
                                  <w:rPr>
                                    <w:rStyle w:val="Hyperlink"/>
                                    <w:color w:val="FFFFFF" w:themeColor="background1"/>
                                    <w:sz w:val="28"/>
                                    <w:u w:val="none"/>
                                    <w:lang w:val="it-IT"/>
                                  </w:rPr>
                                </w:pPr>
                                <w:hyperlink r:id="rId11" w:history="1">
                                  <w:r w:rsidRPr="00CD20EA">
                                    <w:rPr>
                                      <w:rStyle w:val="Hyperlink"/>
                                      <w:color w:val="FFFFFF" w:themeColor="background1"/>
                                      <w:sz w:val="28"/>
                                      <w:u w:val="none"/>
                                      <w:lang w:val="it-IT"/>
                                    </w:rPr>
                                    <w:t>nestpensions.org.uk</w:t>
                                  </w:r>
                                </w:hyperlink>
                              </w:p>
                              <w:p w14:paraId="63492C82" w14:textId="77777777" w:rsidR="00CD20EA" w:rsidRPr="006373F0"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2"/>
      <w:headerReference w:type="default" r:id="rId13"/>
      <w:footerReference w:type="even" r:id="rId14"/>
      <w:footerReference w:type="default" r:id="rId15"/>
      <w:headerReference w:type="first" r:id="rId16"/>
      <w:footerReference w:type="first" r:id="rId17"/>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7F96" w14:textId="77777777" w:rsidR="002C1F21" w:rsidRDefault="002C1F21" w:rsidP="00540F52">
      <w:r>
        <w:separator/>
      </w:r>
    </w:p>
  </w:endnote>
  <w:endnote w:type="continuationSeparator" w:id="0">
    <w:p w14:paraId="3F94D2DD" w14:textId="77777777" w:rsidR="002C1F21" w:rsidRDefault="002C1F21"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DC68" w14:textId="77777777" w:rsidR="002C1F21" w:rsidRPr="00861B99" w:rsidRDefault="002C1F21" w:rsidP="00540F52">
      <w:pPr>
        <w:rPr>
          <w:color w:val="E6E3D9" w:themeColor="background2"/>
        </w:rPr>
      </w:pPr>
      <w:r w:rsidRPr="00861B99">
        <w:rPr>
          <w:color w:val="E6E3D9" w:themeColor="background2"/>
        </w:rPr>
        <w:separator/>
      </w:r>
    </w:p>
  </w:footnote>
  <w:footnote w:type="continuationSeparator" w:id="0">
    <w:p w14:paraId="553E5D5B" w14:textId="77777777" w:rsidR="002C1F21" w:rsidRPr="00861B99" w:rsidRDefault="002C1F21"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79FACF71"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D87B7A">
            <w:rPr>
              <w:noProof/>
            </w:rPr>
            <w:instrText>Senior Service Quality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D87B7A">
            <w:rPr>
              <w:noProof/>
            </w:rPr>
            <w:instrText>Senior Service Quality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D87B7A">
            <w:rPr>
              <w:noProof/>
            </w:rPr>
            <w:t>Senior Service Quality Manager</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33EB6"/>
    <w:multiLevelType w:val="hybridMultilevel"/>
    <w:tmpl w:val="0A281228"/>
    <w:lvl w:ilvl="0" w:tplc="AC68BE30">
      <w:numFmt w:val="bullet"/>
      <w:lvlText w:val="•"/>
      <w:lvlJc w:val="left"/>
      <w:pPr>
        <w:ind w:left="360" w:hanging="360"/>
      </w:pPr>
      <w:rPr>
        <w:rFonts w:ascii="Arial" w:eastAsiaTheme="minorHAnsi" w:hAnsi="Arial" w:cs="Arial" w:hint="default"/>
        <w:color w:val="3C3C3C"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1354344B"/>
    <w:multiLevelType w:val="hybridMultilevel"/>
    <w:tmpl w:val="E4808ABC"/>
    <w:lvl w:ilvl="0" w:tplc="AC68BE30">
      <w:numFmt w:val="bullet"/>
      <w:lvlText w:val="•"/>
      <w:lvlJc w:val="left"/>
      <w:pPr>
        <w:ind w:left="360" w:hanging="360"/>
      </w:pPr>
      <w:rPr>
        <w:rFonts w:ascii="Arial" w:eastAsiaTheme="minorHAnsi" w:hAnsi="Arial" w:cs="Arial" w:hint="default"/>
        <w:color w:val="3C3C3C"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D712C58"/>
    <w:multiLevelType w:val="multilevel"/>
    <w:tmpl w:val="EF7C1A16"/>
    <w:numStyleLink w:val="SecListStyle"/>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7" w15:restartNumberingAfterBreak="0">
    <w:nsid w:val="38305629"/>
    <w:multiLevelType w:val="hybridMultilevel"/>
    <w:tmpl w:val="71C0654C"/>
    <w:lvl w:ilvl="0" w:tplc="AC68BE30">
      <w:numFmt w:val="bullet"/>
      <w:lvlText w:val="•"/>
      <w:lvlJc w:val="left"/>
      <w:pPr>
        <w:ind w:left="720" w:hanging="360"/>
      </w:pPr>
      <w:rPr>
        <w:rFonts w:ascii="Arial" w:eastAsiaTheme="minorHAnsi" w:hAnsi="Arial" w:cs="Arial" w:hint="default"/>
        <w:color w:val="3C3C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54A0523E"/>
    <w:multiLevelType w:val="hybridMultilevel"/>
    <w:tmpl w:val="9608255A"/>
    <w:lvl w:ilvl="0" w:tplc="AC68BE30">
      <w:numFmt w:val="bullet"/>
      <w:lvlText w:val="•"/>
      <w:lvlJc w:val="left"/>
      <w:pPr>
        <w:ind w:left="720" w:hanging="360"/>
      </w:pPr>
      <w:rPr>
        <w:rFonts w:ascii="Arial" w:eastAsiaTheme="minorHAnsi" w:hAnsi="Arial" w:cs="Arial" w:hint="default"/>
        <w:color w:val="3C3C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F39B3"/>
    <w:multiLevelType w:val="hybridMultilevel"/>
    <w:tmpl w:val="A820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B3E2F"/>
    <w:multiLevelType w:val="hybridMultilevel"/>
    <w:tmpl w:val="C652C6CC"/>
    <w:lvl w:ilvl="0" w:tplc="AC68BE30">
      <w:numFmt w:val="bullet"/>
      <w:lvlText w:val="•"/>
      <w:lvlJc w:val="left"/>
      <w:pPr>
        <w:ind w:left="720" w:hanging="360"/>
      </w:pPr>
      <w:rPr>
        <w:rFonts w:ascii="Arial" w:eastAsiaTheme="minorHAnsi" w:hAnsi="Arial" w:cs="Arial" w:hint="default"/>
        <w:color w:val="3C3C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126606"/>
    <w:multiLevelType w:val="hybridMultilevel"/>
    <w:tmpl w:val="EB8628DE"/>
    <w:lvl w:ilvl="0" w:tplc="AC68BE30">
      <w:numFmt w:val="bullet"/>
      <w:lvlText w:val="•"/>
      <w:lvlJc w:val="left"/>
      <w:pPr>
        <w:ind w:left="720" w:hanging="360"/>
      </w:pPr>
      <w:rPr>
        <w:rFonts w:ascii="Arial" w:eastAsiaTheme="minorHAnsi" w:hAnsi="Arial" w:cs="Arial" w:hint="default"/>
        <w:color w:val="3C3C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7"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427848829">
    <w:abstractNumId w:val="20"/>
  </w:num>
  <w:num w:numId="2" w16cid:durableId="638070992">
    <w:abstractNumId w:val="18"/>
  </w:num>
  <w:num w:numId="3" w16cid:durableId="667245452">
    <w:abstractNumId w:val="27"/>
  </w:num>
  <w:num w:numId="4" w16cid:durableId="134031454">
    <w:abstractNumId w:val="28"/>
  </w:num>
  <w:num w:numId="5" w16cid:durableId="358047994">
    <w:abstractNumId w:val="18"/>
  </w:num>
  <w:num w:numId="6" w16cid:durableId="1254898030">
    <w:abstractNumId w:val="20"/>
  </w:num>
  <w:num w:numId="7" w16cid:durableId="2038458234">
    <w:abstractNumId w:val="21"/>
  </w:num>
  <w:num w:numId="8" w16cid:durableId="247037602">
    <w:abstractNumId w:val="26"/>
  </w:num>
  <w:num w:numId="9" w16cid:durableId="10835341">
    <w:abstractNumId w:val="15"/>
  </w:num>
  <w:num w:numId="10" w16cid:durableId="2078237131">
    <w:abstractNumId w:val="9"/>
  </w:num>
  <w:num w:numId="11" w16cid:durableId="134613875">
    <w:abstractNumId w:val="7"/>
  </w:num>
  <w:num w:numId="12" w16cid:durableId="1043752453">
    <w:abstractNumId w:val="6"/>
  </w:num>
  <w:num w:numId="13" w16cid:durableId="1556700841">
    <w:abstractNumId w:val="5"/>
  </w:num>
  <w:num w:numId="14" w16cid:durableId="120658255">
    <w:abstractNumId w:val="4"/>
  </w:num>
  <w:num w:numId="15" w16cid:durableId="1794134663">
    <w:abstractNumId w:val="8"/>
  </w:num>
  <w:num w:numId="16" w16cid:durableId="307705966">
    <w:abstractNumId w:val="3"/>
  </w:num>
  <w:num w:numId="17" w16cid:durableId="26571071">
    <w:abstractNumId w:val="2"/>
  </w:num>
  <w:num w:numId="18" w16cid:durableId="1476604510">
    <w:abstractNumId w:val="1"/>
  </w:num>
  <w:num w:numId="19" w16cid:durableId="1499031369">
    <w:abstractNumId w:val="0"/>
  </w:num>
  <w:num w:numId="20" w16cid:durableId="1374115362">
    <w:abstractNumId w:val="11"/>
  </w:num>
  <w:num w:numId="21" w16cid:durableId="2103449095">
    <w:abstractNumId w:val="19"/>
  </w:num>
  <w:num w:numId="22" w16cid:durableId="625354927">
    <w:abstractNumId w:val="14"/>
  </w:num>
  <w:num w:numId="23" w16cid:durableId="1461142891">
    <w:abstractNumId w:val="21"/>
  </w:num>
  <w:num w:numId="24" w16cid:durableId="117376749">
    <w:abstractNumId w:val="21"/>
  </w:num>
  <w:num w:numId="25" w16cid:durableId="1407415367">
    <w:abstractNumId w:val="21"/>
  </w:num>
  <w:num w:numId="26" w16cid:durableId="1470897332">
    <w:abstractNumId w:val="23"/>
  </w:num>
  <w:num w:numId="27" w16cid:durableId="638191674">
    <w:abstractNumId w:val="25"/>
  </w:num>
  <w:num w:numId="28" w16cid:durableId="1041058400">
    <w:abstractNumId w:val="10"/>
  </w:num>
  <w:num w:numId="29" w16cid:durableId="1414357903">
    <w:abstractNumId w:val="17"/>
  </w:num>
  <w:num w:numId="30" w16cid:durableId="425423766">
    <w:abstractNumId w:val="12"/>
  </w:num>
  <w:num w:numId="31" w16cid:durableId="438332598">
    <w:abstractNumId w:val="22"/>
  </w:num>
  <w:num w:numId="32" w16cid:durableId="6542459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1096A"/>
    <w:rsid w:val="000170EC"/>
    <w:rsid w:val="00020299"/>
    <w:rsid w:val="00030133"/>
    <w:rsid w:val="0003556D"/>
    <w:rsid w:val="000672FB"/>
    <w:rsid w:val="0006764F"/>
    <w:rsid w:val="000711D1"/>
    <w:rsid w:val="0009764F"/>
    <w:rsid w:val="000B70A9"/>
    <w:rsid w:val="000C6725"/>
    <w:rsid w:val="000C7A6F"/>
    <w:rsid w:val="000D055E"/>
    <w:rsid w:val="000D238B"/>
    <w:rsid w:val="000E52BD"/>
    <w:rsid w:val="000F1DB2"/>
    <w:rsid w:val="000F2D3D"/>
    <w:rsid w:val="00112CCB"/>
    <w:rsid w:val="00115822"/>
    <w:rsid w:val="001255EF"/>
    <w:rsid w:val="00141FF2"/>
    <w:rsid w:val="001475B3"/>
    <w:rsid w:val="00162264"/>
    <w:rsid w:val="00162DA4"/>
    <w:rsid w:val="0016532E"/>
    <w:rsid w:val="00172579"/>
    <w:rsid w:val="00176A70"/>
    <w:rsid w:val="00180354"/>
    <w:rsid w:val="00184014"/>
    <w:rsid w:val="0019565D"/>
    <w:rsid w:val="001A15EE"/>
    <w:rsid w:val="001B36D9"/>
    <w:rsid w:val="001B769D"/>
    <w:rsid w:val="001C1280"/>
    <w:rsid w:val="001C4090"/>
    <w:rsid w:val="001E7B00"/>
    <w:rsid w:val="001F03E2"/>
    <w:rsid w:val="001F1375"/>
    <w:rsid w:val="001F4921"/>
    <w:rsid w:val="001F5965"/>
    <w:rsid w:val="00201F3B"/>
    <w:rsid w:val="0020649B"/>
    <w:rsid w:val="002110DB"/>
    <w:rsid w:val="00213108"/>
    <w:rsid w:val="00224FA9"/>
    <w:rsid w:val="002368C5"/>
    <w:rsid w:val="00237382"/>
    <w:rsid w:val="00245E0E"/>
    <w:rsid w:val="00255298"/>
    <w:rsid w:val="00272BF2"/>
    <w:rsid w:val="00275CD7"/>
    <w:rsid w:val="00275E16"/>
    <w:rsid w:val="00282F0D"/>
    <w:rsid w:val="002C1F21"/>
    <w:rsid w:val="002C482B"/>
    <w:rsid w:val="002D108A"/>
    <w:rsid w:val="002F1B8E"/>
    <w:rsid w:val="002F337F"/>
    <w:rsid w:val="002F4726"/>
    <w:rsid w:val="00300248"/>
    <w:rsid w:val="00301AC8"/>
    <w:rsid w:val="00303266"/>
    <w:rsid w:val="00303A10"/>
    <w:rsid w:val="003075C6"/>
    <w:rsid w:val="003166E3"/>
    <w:rsid w:val="00326A8C"/>
    <w:rsid w:val="0033044F"/>
    <w:rsid w:val="0034634D"/>
    <w:rsid w:val="003535D4"/>
    <w:rsid w:val="0035554B"/>
    <w:rsid w:val="00364CD8"/>
    <w:rsid w:val="003848BA"/>
    <w:rsid w:val="003855C8"/>
    <w:rsid w:val="003942C3"/>
    <w:rsid w:val="003A0291"/>
    <w:rsid w:val="003B3D63"/>
    <w:rsid w:val="003B495A"/>
    <w:rsid w:val="00400E40"/>
    <w:rsid w:val="004062F4"/>
    <w:rsid w:val="004151AD"/>
    <w:rsid w:val="00421979"/>
    <w:rsid w:val="00425C0C"/>
    <w:rsid w:val="004429F8"/>
    <w:rsid w:val="004451DD"/>
    <w:rsid w:val="004516B8"/>
    <w:rsid w:val="00467260"/>
    <w:rsid w:val="00472E72"/>
    <w:rsid w:val="004738A5"/>
    <w:rsid w:val="0049056F"/>
    <w:rsid w:val="004A1348"/>
    <w:rsid w:val="004B3F40"/>
    <w:rsid w:val="004B6243"/>
    <w:rsid w:val="004C4D86"/>
    <w:rsid w:val="004D376F"/>
    <w:rsid w:val="004D49C5"/>
    <w:rsid w:val="004D7793"/>
    <w:rsid w:val="004E2E9E"/>
    <w:rsid w:val="004E67AD"/>
    <w:rsid w:val="00501B39"/>
    <w:rsid w:val="00505F5C"/>
    <w:rsid w:val="00512C67"/>
    <w:rsid w:val="00514A63"/>
    <w:rsid w:val="00536C3A"/>
    <w:rsid w:val="00537052"/>
    <w:rsid w:val="00540DDE"/>
    <w:rsid w:val="00540F52"/>
    <w:rsid w:val="00544E43"/>
    <w:rsid w:val="005522B4"/>
    <w:rsid w:val="005700BB"/>
    <w:rsid w:val="00577663"/>
    <w:rsid w:val="005820AD"/>
    <w:rsid w:val="0059270B"/>
    <w:rsid w:val="005A4320"/>
    <w:rsid w:val="005A706D"/>
    <w:rsid w:val="005C7B64"/>
    <w:rsid w:val="005D7F2B"/>
    <w:rsid w:val="005F7D7E"/>
    <w:rsid w:val="00624D6E"/>
    <w:rsid w:val="006373F0"/>
    <w:rsid w:val="0064205F"/>
    <w:rsid w:val="00653005"/>
    <w:rsid w:val="00653464"/>
    <w:rsid w:val="00654A00"/>
    <w:rsid w:val="006644CB"/>
    <w:rsid w:val="0066535F"/>
    <w:rsid w:val="00665D3B"/>
    <w:rsid w:val="006664EB"/>
    <w:rsid w:val="00667906"/>
    <w:rsid w:val="00667BC0"/>
    <w:rsid w:val="0068057A"/>
    <w:rsid w:val="00682AAA"/>
    <w:rsid w:val="00684C33"/>
    <w:rsid w:val="00693C4D"/>
    <w:rsid w:val="0069774A"/>
    <w:rsid w:val="006A0609"/>
    <w:rsid w:val="006B7429"/>
    <w:rsid w:val="006C4122"/>
    <w:rsid w:val="006D2507"/>
    <w:rsid w:val="006D2B80"/>
    <w:rsid w:val="006D3A53"/>
    <w:rsid w:val="006D7107"/>
    <w:rsid w:val="006E2007"/>
    <w:rsid w:val="006E54BD"/>
    <w:rsid w:val="00703279"/>
    <w:rsid w:val="00714E21"/>
    <w:rsid w:val="0072026F"/>
    <w:rsid w:val="00722371"/>
    <w:rsid w:val="007267C1"/>
    <w:rsid w:val="00734564"/>
    <w:rsid w:val="007667DF"/>
    <w:rsid w:val="00767330"/>
    <w:rsid w:val="00771F31"/>
    <w:rsid w:val="00785319"/>
    <w:rsid w:val="00794CFA"/>
    <w:rsid w:val="007B1476"/>
    <w:rsid w:val="007B49D5"/>
    <w:rsid w:val="007B65CF"/>
    <w:rsid w:val="007B7533"/>
    <w:rsid w:val="007D1CA5"/>
    <w:rsid w:val="007E12F9"/>
    <w:rsid w:val="007E34AE"/>
    <w:rsid w:val="007E7EB3"/>
    <w:rsid w:val="007F3427"/>
    <w:rsid w:val="007F4A0B"/>
    <w:rsid w:val="0081128D"/>
    <w:rsid w:val="00815032"/>
    <w:rsid w:val="00821203"/>
    <w:rsid w:val="0082303C"/>
    <w:rsid w:val="00823BC8"/>
    <w:rsid w:val="0083070E"/>
    <w:rsid w:val="008339D4"/>
    <w:rsid w:val="00835705"/>
    <w:rsid w:val="00861B99"/>
    <w:rsid w:val="00863A1A"/>
    <w:rsid w:val="00870518"/>
    <w:rsid w:val="00871823"/>
    <w:rsid w:val="00885DBD"/>
    <w:rsid w:val="0088708F"/>
    <w:rsid w:val="00890591"/>
    <w:rsid w:val="00897006"/>
    <w:rsid w:val="008A180C"/>
    <w:rsid w:val="008A660A"/>
    <w:rsid w:val="008E10D9"/>
    <w:rsid w:val="008E46E7"/>
    <w:rsid w:val="008F0612"/>
    <w:rsid w:val="008F4A91"/>
    <w:rsid w:val="008F7E74"/>
    <w:rsid w:val="00900C1F"/>
    <w:rsid w:val="00923366"/>
    <w:rsid w:val="0092593D"/>
    <w:rsid w:val="009341FA"/>
    <w:rsid w:val="00942272"/>
    <w:rsid w:val="0094513F"/>
    <w:rsid w:val="00951D94"/>
    <w:rsid w:val="00952455"/>
    <w:rsid w:val="00973D95"/>
    <w:rsid w:val="00974426"/>
    <w:rsid w:val="0097713D"/>
    <w:rsid w:val="00984946"/>
    <w:rsid w:val="00985D74"/>
    <w:rsid w:val="009A754B"/>
    <w:rsid w:val="009B34D9"/>
    <w:rsid w:val="009B55E2"/>
    <w:rsid w:val="009C3F82"/>
    <w:rsid w:val="00A23F3D"/>
    <w:rsid w:val="00A41436"/>
    <w:rsid w:val="00A53C3B"/>
    <w:rsid w:val="00A55398"/>
    <w:rsid w:val="00A711CD"/>
    <w:rsid w:val="00A72151"/>
    <w:rsid w:val="00A92508"/>
    <w:rsid w:val="00AB3E24"/>
    <w:rsid w:val="00AE1D5D"/>
    <w:rsid w:val="00AF5CF2"/>
    <w:rsid w:val="00B02C86"/>
    <w:rsid w:val="00B04B5D"/>
    <w:rsid w:val="00B050BF"/>
    <w:rsid w:val="00B06591"/>
    <w:rsid w:val="00B105DC"/>
    <w:rsid w:val="00B1217E"/>
    <w:rsid w:val="00B266F7"/>
    <w:rsid w:val="00B30E61"/>
    <w:rsid w:val="00B44E13"/>
    <w:rsid w:val="00B861CE"/>
    <w:rsid w:val="00BA0DBD"/>
    <w:rsid w:val="00BA3E72"/>
    <w:rsid w:val="00BA4070"/>
    <w:rsid w:val="00BB05CB"/>
    <w:rsid w:val="00BC4CA7"/>
    <w:rsid w:val="00BD292E"/>
    <w:rsid w:val="00BD516D"/>
    <w:rsid w:val="00BE1F3A"/>
    <w:rsid w:val="00BF4A69"/>
    <w:rsid w:val="00BF6755"/>
    <w:rsid w:val="00BF6FDF"/>
    <w:rsid w:val="00C0572D"/>
    <w:rsid w:val="00C32352"/>
    <w:rsid w:val="00C32C01"/>
    <w:rsid w:val="00C55E23"/>
    <w:rsid w:val="00C56D53"/>
    <w:rsid w:val="00C648C2"/>
    <w:rsid w:val="00C65A9A"/>
    <w:rsid w:val="00C66079"/>
    <w:rsid w:val="00C76629"/>
    <w:rsid w:val="00CA5C7E"/>
    <w:rsid w:val="00CA669B"/>
    <w:rsid w:val="00CB1E37"/>
    <w:rsid w:val="00CB4384"/>
    <w:rsid w:val="00CD20EA"/>
    <w:rsid w:val="00CF6BE0"/>
    <w:rsid w:val="00D10FFA"/>
    <w:rsid w:val="00D11654"/>
    <w:rsid w:val="00D216DF"/>
    <w:rsid w:val="00D236EC"/>
    <w:rsid w:val="00D25671"/>
    <w:rsid w:val="00D35126"/>
    <w:rsid w:val="00D353FF"/>
    <w:rsid w:val="00D431DA"/>
    <w:rsid w:val="00D74785"/>
    <w:rsid w:val="00D87B7A"/>
    <w:rsid w:val="00D87F3B"/>
    <w:rsid w:val="00D95195"/>
    <w:rsid w:val="00DC58D8"/>
    <w:rsid w:val="00DD273B"/>
    <w:rsid w:val="00E12B2A"/>
    <w:rsid w:val="00E130F0"/>
    <w:rsid w:val="00E17BBF"/>
    <w:rsid w:val="00E21352"/>
    <w:rsid w:val="00E2259E"/>
    <w:rsid w:val="00E2315D"/>
    <w:rsid w:val="00E23BE6"/>
    <w:rsid w:val="00E666C3"/>
    <w:rsid w:val="00E806CF"/>
    <w:rsid w:val="00E8293D"/>
    <w:rsid w:val="00E85A69"/>
    <w:rsid w:val="00E86B42"/>
    <w:rsid w:val="00E870E8"/>
    <w:rsid w:val="00E967F5"/>
    <w:rsid w:val="00EB518A"/>
    <w:rsid w:val="00EB74B7"/>
    <w:rsid w:val="00EC004A"/>
    <w:rsid w:val="00EC2484"/>
    <w:rsid w:val="00EF71B0"/>
    <w:rsid w:val="00F0179A"/>
    <w:rsid w:val="00F2212E"/>
    <w:rsid w:val="00F2624A"/>
    <w:rsid w:val="00F2750E"/>
    <w:rsid w:val="00F30DE0"/>
    <w:rsid w:val="00F30E26"/>
    <w:rsid w:val="00F3166D"/>
    <w:rsid w:val="00F33FE5"/>
    <w:rsid w:val="00F368D9"/>
    <w:rsid w:val="00F56589"/>
    <w:rsid w:val="00F664F5"/>
    <w:rsid w:val="00F667D6"/>
    <w:rsid w:val="00F8527B"/>
    <w:rsid w:val="00FA0B93"/>
    <w:rsid w:val="00FA5B65"/>
    <w:rsid w:val="00FC18B1"/>
    <w:rsid w:val="00FC5BCF"/>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rsid w:val="000C6725"/>
    <w:pPr>
      <w:spacing w:before="60"/>
    </w:pPr>
    <w:rPr>
      <w:b/>
      <w:color w:val="FFFFFF" w:themeColor="background1"/>
      <w:sz w:val="32"/>
    </w:rPr>
  </w:style>
  <w:style w:type="paragraph" w:customStyle="1" w:styleId="CoverDepartment">
    <w:name w:val="±CoverDepartment"/>
    <w:basedOn w:val="NoSpacing"/>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pensions.org.uk/schemeweb/ne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stpensions.org.uk/schemeweb/nest.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884423">
          <w:pPr>
            <w:pStyle w:val="271BB81C28654F50B0FA8DB5311498E4"/>
          </w:pPr>
          <w:r w:rsidRPr="00D279CC">
            <w:rPr>
              <w:rStyle w:val="PlaceholderText"/>
            </w:rPr>
            <w:t>Click or tap here to enter text.</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884423">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245E98"/>
    <w:rsid w:val="00275CD7"/>
    <w:rsid w:val="003D0798"/>
    <w:rsid w:val="00423A1A"/>
    <w:rsid w:val="005A4320"/>
    <w:rsid w:val="00621B98"/>
    <w:rsid w:val="00742F5D"/>
    <w:rsid w:val="00884423"/>
    <w:rsid w:val="008D4A5B"/>
    <w:rsid w:val="00951D94"/>
    <w:rsid w:val="00B04D80"/>
    <w:rsid w:val="00D431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B98"/>
    <w:rPr>
      <w:color w:val="808080"/>
    </w:rPr>
  </w:style>
  <w:style w:type="paragraph" w:customStyle="1" w:styleId="271BB81C28654F50B0FA8DB5311498E4">
    <w:name w:val="271BB81C28654F50B0FA8DB5311498E4"/>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1249</TotalTime>
  <Pages>6</Pages>
  <Words>1734</Words>
  <Characters>9977</Characters>
  <Application>Microsoft Office Word</Application>
  <DocSecurity>0</DocSecurity>
  <Lines>433</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Melanie Wright</cp:lastModifiedBy>
  <cp:revision>46</cp:revision>
  <cp:lastPrinted>2019-02-26T10:03:00Z</cp:lastPrinted>
  <dcterms:created xsi:type="dcterms:W3CDTF">2026-06-08T12:15:00Z</dcterms:created>
  <dcterms:modified xsi:type="dcterms:W3CDTF">2026-06-30T17:32:00Z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ies>
</file>